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F43AB" w14:textId="77777777" w:rsidR="002A090C" w:rsidRDefault="00000000">
      <w:pPr>
        <w:pStyle w:val="Encabezado"/>
        <w:jc w:val="both"/>
        <w:rPr>
          <w:rFonts w:ascii="Times New Roman" w:eastAsia="Times New Roman" w:hAnsi="Times New Roman" w:cs="Times New Roman"/>
        </w:rPr>
      </w:pPr>
      <w:r>
        <w:rPr>
          <w:rFonts w:ascii="Times New Roman" w:eastAsia="Times New Roman" w:hAnsi="Times New Roman" w:cs="Times New Roman"/>
        </w:rPr>
        <w:t>5100</w:t>
      </w:r>
    </w:p>
    <w:p w14:paraId="1163BBFC" w14:textId="77777777" w:rsidR="002A090C" w:rsidRDefault="002A090C">
      <w:pPr>
        <w:pStyle w:val="Encabezado"/>
        <w:jc w:val="both"/>
        <w:rPr>
          <w:rFonts w:ascii="Times New Roman" w:eastAsia="Times New Roman" w:hAnsi="Times New Roman" w:cs="Times New Roman"/>
        </w:rPr>
      </w:pPr>
    </w:p>
    <w:p w14:paraId="3A2F6340" w14:textId="77777777" w:rsidR="002A090C" w:rsidRDefault="002A090C">
      <w:pPr>
        <w:pStyle w:val="Encabezado"/>
        <w:jc w:val="both"/>
        <w:rPr>
          <w:rFonts w:ascii="Times New Roman" w:eastAsia="Times New Roman" w:hAnsi="Times New Roman" w:cs="Times New Roman"/>
        </w:rPr>
      </w:pPr>
    </w:p>
    <w:p w14:paraId="46FF6AA3" w14:textId="77777777" w:rsidR="002A090C"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Bogotá, D.C. 29 diciembre de 2025</w:t>
      </w:r>
    </w:p>
    <w:p w14:paraId="4FAAC7A1" w14:textId="77777777" w:rsidR="002A090C" w:rsidRDefault="002A090C">
      <w:pPr>
        <w:spacing w:after="0" w:line="240" w:lineRule="auto"/>
        <w:jc w:val="both"/>
        <w:rPr>
          <w:rFonts w:ascii="Times New Roman" w:eastAsia="Times New Roman" w:hAnsi="Times New Roman" w:cs="Times New Roman"/>
        </w:rPr>
      </w:pPr>
    </w:p>
    <w:p w14:paraId="65B95237" w14:textId="77777777" w:rsidR="002A090C" w:rsidRDefault="002A090C">
      <w:pPr>
        <w:spacing w:after="0" w:line="240" w:lineRule="auto"/>
        <w:jc w:val="both"/>
        <w:rPr>
          <w:rFonts w:ascii="Times New Roman" w:eastAsia="Times New Roman" w:hAnsi="Times New Roman" w:cs="Times New Roman"/>
        </w:rPr>
      </w:pPr>
    </w:p>
    <w:p w14:paraId="1193E2F2" w14:textId="77777777" w:rsidR="002A090C"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Señora:</w:t>
      </w:r>
    </w:p>
    <w:p w14:paraId="71762505" w14:textId="77777777" w:rsidR="002A090C"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SANDRA MERCEDES DELGADO</w:t>
      </w:r>
    </w:p>
    <w:p w14:paraId="5C77191D" w14:textId="77777777" w:rsidR="002A090C"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CPS 2025/0550 </w:t>
      </w:r>
    </w:p>
    <w:p w14:paraId="600B67BE" w14:textId="77777777" w:rsidR="002A090C"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Instituto Distrital para la Protección de la Niñez y la Juventud - IDIPRON</w:t>
      </w:r>
      <w:r>
        <w:tab/>
      </w:r>
      <w:r>
        <w:tab/>
      </w:r>
    </w:p>
    <w:p w14:paraId="3097C7AE" w14:textId="77777777" w:rsidR="002A090C"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sdsandy7@gmail.com</w:t>
      </w:r>
    </w:p>
    <w:p w14:paraId="49D42804" w14:textId="77777777" w:rsidR="002A090C"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Bogotá</w:t>
      </w:r>
    </w:p>
    <w:p w14:paraId="6B0FF811" w14:textId="77777777" w:rsidR="002A090C" w:rsidRDefault="002A090C">
      <w:pPr>
        <w:spacing w:after="0" w:line="240" w:lineRule="auto"/>
        <w:jc w:val="both"/>
        <w:rPr>
          <w:rFonts w:ascii="Times New Roman" w:eastAsia="Times New Roman" w:hAnsi="Times New Roman" w:cs="Times New Roman"/>
        </w:rPr>
      </w:pPr>
    </w:p>
    <w:p w14:paraId="5EACA37A" w14:textId="77777777" w:rsidR="002A090C" w:rsidRDefault="002A090C">
      <w:pPr>
        <w:spacing w:after="0" w:line="240" w:lineRule="auto"/>
        <w:jc w:val="both"/>
        <w:rPr>
          <w:rFonts w:ascii="Times New Roman" w:eastAsia="Times New Roman" w:hAnsi="Times New Roman" w:cs="Times New Roman"/>
        </w:rPr>
      </w:pPr>
    </w:p>
    <w:p w14:paraId="2008708A" w14:textId="77777777" w:rsidR="002A090C"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ASUNTO:</w:t>
      </w:r>
      <w:r>
        <w:rPr>
          <w:rFonts w:ascii="Times New Roman" w:eastAsia="Times New Roman" w:hAnsi="Times New Roman" w:cs="Times New Roman"/>
        </w:rPr>
        <w:t xml:space="preserve"> Respuesta de fondo al Derecho de Petición con Radicado No. 2025ER4261,  Solicitud de medidas de protección, adición y continuidad contractual para la vigencia 2026.</w:t>
      </w:r>
    </w:p>
    <w:p w14:paraId="7ED22337" w14:textId="77777777" w:rsidR="002A090C" w:rsidRDefault="002A090C">
      <w:pPr>
        <w:pStyle w:val="Default"/>
        <w:jc w:val="both"/>
        <w:rPr>
          <w:rFonts w:eastAsia="Times New Roman"/>
          <w:sz w:val="22"/>
          <w:szCs w:val="22"/>
        </w:rPr>
      </w:pPr>
    </w:p>
    <w:p w14:paraId="69CBC0BD" w14:textId="77777777" w:rsidR="002A090C" w:rsidRDefault="00000000">
      <w:pPr>
        <w:pStyle w:val="Default"/>
        <w:jc w:val="both"/>
        <w:rPr>
          <w:rFonts w:eastAsia="Times New Roman"/>
          <w:color w:val="auto"/>
          <w:sz w:val="22"/>
          <w:szCs w:val="22"/>
        </w:rPr>
      </w:pPr>
      <w:r>
        <w:rPr>
          <w:rFonts w:eastAsia="Times New Roman"/>
          <w:color w:val="auto"/>
          <w:sz w:val="22"/>
          <w:szCs w:val="22"/>
        </w:rPr>
        <w:t>Respetada Señora Sandra:</w:t>
      </w:r>
    </w:p>
    <w:p w14:paraId="48ADF32B" w14:textId="77777777" w:rsidR="002A090C" w:rsidRDefault="002A090C">
      <w:pPr>
        <w:pStyle w:val="Default"/>
        <w:jc w:val="both"/>
        <w:rPr>
          <w:rFonts w:eastAsia="Times New Roman"/>
          <w:color w:val="auto"/>
          <w:sz w:val="22"/>
          <w:szCs w:val="22"/>
        </w:rPr>
      </w:pPr>
    </w:p>
    <w:p w14:paraId="545690A9" w14:textId="77777777" w:rsidR="002A090C" w:rsidRDefault="00000000">
      <w:pPr>
        <w:pStyle w:val="Default"/>
        <w:jc w:val="both"/>
        <w:rPr>
          <w:rFonts w:eastAsia="Times New Roman"/>
          <w:color w:val="auto"/>
          <w:sz w:val="22"/>
          <w:szCs w:val="22"/>
        </w:rPr>
      </w:pPr>
      <w:r>
        <w:rPr>
          <w:rFonts w:eastAsia="Times New Roman"/>
          <w:color w:val="auto"/>
          <w:sz w:val="22"/>
          <w:szCs w:val="22"/>
        </w:rPr>
        <w:t>La Gerencia de Inserción Socioeconómica del INSTITUTO DISTRITAL PARA LA PROTECCIÓN DE LA NIÑEZ Y LA JUVENTUD – IDIPRON, en cumplimiento de los términos constitucionales y legales, y actuando dentro del marco de competencias asignado, procede a emitir respuesta oficial y de fondo a su solicitud radicada bajo el número de la referencia.</w:t>
      </w:r>
    </w:p>
    <w:p w14:paraId="17F88DA5" w14:textId="77777777" w:rsidR="002A090C" w:rsidRDefault="002A090C">
      <w:pPr>
        <w:pStyle w:val="Default"/>
        <w:jc w:val="both"/>
        <w:rPr>
          <w:rFonts w:eastAsia="Times New Roman"/>
          <w:color w:val="auto"/>
          <w:sz w:val="22"/>
          <w:szCs w:val="22"/>
        </w:rPr>
      </w:pPr>
    </w:p>
    <w:p w14:paraId="355EBC26" w14:textId="77777777" w:rsidR="002A090C" w:rsidRDefault="00000000">
      <w:pPr>
        <w:pStyle w:val="Default"/>
        <w:jc w:val="both"/>
        <w:rPr>
          <w:rFonts w:eastAsia="Times New Roman"/>
          <w:color w:val="auto"/>
          <w:sz w:val="22"/>
          <w:szCs w:val="22"/>
        </w:rPr>
      </w:pPr>
      <w:r>
        <w:rPr>
          <w:rFonts w:eastAsia="Times New Roman"/>
          <w:color w:val="auto"/>
          <w:sz w:val="22"/>
          <w:szCs w:val="22"/>
        </w:rPr>
        <w:t>Para efectos de brindar una respuesta integral, jurídica y motivada, abordaremos su petición desarrollando los siguientes ejes temáticos: (I) Antecedentes de hecho y actuaciones administrativas previas; (II) Marco Jurídico sobre la naturaleza del Contrato de Prestación de Servicios Estatal; (III) El Principio de Legalidad Presupuestal como límite a la contratación pública; y (IV) Análisis del caso concreto frente a la solicitud de estabilidad laboral reforzada.</w:t>
      </w:r>
    </w:p>
    <w:p w14:paraId="0E64C30B" w14:textId="77777777" w:rsidR="002A090C" w:rsidRDefault="002A090C">
      <w:pPr>
        <w:pStyle w:val="Default"/>
        <w:jc w:val="both"/>
        <w:rPr>
          <w:rFonts w:eastAsia="Times New Roman"/>
          <w:color w:val="auto"/>
          <w:sz w:val="22"/>
          <w:szCs w:val="22"/>
        </w:rPr>
      </w:pPr>
    </w:p>
    <w:p w14:paraId="4A9B2A2D" w14:textId="77777777" w:rsidR="002A090C" w:rsidRDefault="00000000">
      <w:pPr>
        <w:pStyle w:val="Default"/>
        <w:jc w:val="both"/>
        <w:rPr>
          <w:rFonts w:eastAsia="Times New Roman"/>
          <w:b/>
          <w:bCs/>
          <w:color w:val="auto"/>
          <w:sz w:val="22"/>
          <w:szCs w:val="22"/>
        </w:rPr>
      </w:pPr>
      <w:r>
        <w:rPr>
          <w:rFonts w:eastAsia="Times New Roman"/>
          <w:b/>
          <w:bCs/>
          <w:color w:val="auto"/>
          <w:sz w:val="22"/>
          <w:szCs w:val="22"/>
        </w:rPr>
        <w:t>I. ANTECEDENTES DE HECHO Y ACTUACIONES ADMINISTRATIVAS</w:t>
      </w:r>
    </w:p>
    <w:p w14:paraId="3DADEE7E" w14:textId="77777777" w:rsidR="002A090C" w:rsidRDefault="002A090C">
      <w:pPr>
        <w:pStyle w:val="Default"/>
        <w:jc w:val="both"/>
        <w:rPr>
          <w:rFonts w:eastAsia="Times New Roman"/>
          <w:color w:val="auto"/>
          <w:sz w:val="22"/>
          <w:szCs w:val="22"/>
        </w:rPr>
      </w:pPr>
    </w:p>
    <w:p w14:paraId="54A33210" w14:textId="77777777" w:rsidR="002A090C" w:rsidRDefault="00000000">
      <w:pPr>
        <w:pStyle w:val="Default"/>
        <w:jc w:val="both"/>
        <w:rPr>
          <w:rFonts w:eastAsia="Times New Roman"/>
          <w:color w:val="auto"/>
          <w:sz w:val="22"/>
          <w:szCs w:val="22"/>
        </w:rPr>
      </w:pPr>
      <w:r>
        <w:rPr>
          <w:rFonts w:eastAsia="Times New Roman"/>
          <w:color w:val="auto"/>
          <w:sz w:val="22"/>
          <w:szCs w:val="22"/>
        </w:rPr>
        <w:t>Es imperativo para esta entidad dejar constancia de las actuaciones administrativas surtidas previamente a la radicación de su escrito, las cuales denotan la buena fe y la transparencia con la que ha obrado el IDIPRON:</w:t>
      </w:r>
    </w:p>
    <w:p w14:paraId="13C464EF" w14:textId="77777777" w:rsidR="002A090C" w:rsidRDefault="002A090C">
      <w:pPr>
        <w:pStyle w:val="Default"/>
        <w:jc w:val="both"/>
        <w:rPr>
          <w:rFonts w:eastAsia="Times New Roman"/>
          <w:color w:val="auto"/>
          <w:sz w:val="22"/>
          <w:szCs w:val="22"/>
        </w:rPr>
      </w:pPr>
    </w:p>
    <w:p w14:paraId="7060E57C" w14:textId="77777777" w:rsidR="002A090C" w:rsidRDefault="00000000">
      <w:pPr>
        <w:pStyle w:val="Default"/>
        <w:numPr>
          <w:ilvl w:val="0"/>
          <w:numId w:val="1"/>
        </w:numPr>
        <w:jc w:val="both"/>
        <w:rPr>
          <w:rFonts w:eastAsia="Times New Roman"/>
          <w:color w:val="auto"/>
          <w:sz w:val="22"/>
          <w:szCs w:val="22"/>
        </w:rPr>
      </w:pPr>
      <w:r>
        <w:rPr>
          <w:rFonts w:eastAsia="Times New Roman"/>
          <w:color w:val="auto"/>
          <w:sz w:val="22"/>
          <w:szCs w:val="22"/>
        </w:rPr>
        <w:t>Usted se encuentra vinculada actualmente mediante el Contrato de Prestación de Servicios No. 2025-0550, cuyo objeto y obligaciones se han ejecutado en la Gerencia de Inserción Socioeconómica, y cuyo plazo de ejecución finaliza, por mutuo acuerdo plasmado en el texto contractual, el próximo 26 de diciembre de 2025.</w:t>
      </w:r>
    </w:p>
    <w:p w14:paraId="5050BCE2" w14:textId="77777777" w:rsidR="002A090C" w:rsidRDefault="002A090C">
      <w:pPr>
        <w:pStyle w:val="Default"/>
        <w:ind w:left="720"/>
        <w:jc w:val="both"/>
        <w:rPr>
          <w:rFonts w:eastAsia="Times New Roman"/>
          <w:color w:val="auto"/>
          <w:sz w:val="22"/>
          <w:szCs w:val="22"/>
        </w:rPr>
      </w:pPr>
    </w:p>
    <w:p w14:paraId="446B073D" w14:textId="77777777" w:rsidR="002A090C" w:rsidRDefault="00000000">
      <w:pPr>
        <w:pStyle w:val="Default"/>
        <w:numPr>
          <w:ilvl w:val="0"/>
          <w:numId w:val="1"/>
        </w:numPr>
        <w:jc w:val="both"/>
        <w:rPr>
          <w:rFonts w:eastAsia="Times New Roman"/>
          <w:color w:val="auto"/>
          <w:sz w:val="22"/>
          <w:szCs w:val="22"/>
        </w:rPr>
      </w:pPr>
      <w:r>
        <w:rPr>
          <w:rFonts w:eastAsia="Times New Roman"/>
          <w:color w:val="auto"/>
          <w:sz w:val="22"/>
          <w:szCs w:val="22"/>
        </w:rPr>
        <w:t>El día 5 de diciembre de 2025, se sostuvo una comunicación telefónica cordial y directa entre usted y la suscrita Gerente de Inserción Socioeconómica (en calidad de supervisora). En dicha conversación se le informó, de manera clara, oportuna y anticipada, sobre el recorte presupuestal asignado a la Subdirección Técnica de Oportunidades para la vigencia fiscal 2026.</w:t>
      </w:r>
    </w:p>
    <w:p w14:paraId="59018088" w14:textId="77777777" w:rsidR="002A090C" w:rsidRDefault="002A090C">
      <w:pPr>
        <w:pStyle w:val="Default"/>
        <w:ind w:left="720"/>
        <w:jc w:val="both"/>
        <w:rPr>
          <w:rFonts w:eastAsia="Times New Roman"/>
          <w:color w:val="auto"/>
          <w:sz w:val="22"/>
          <w:szCs w:val="22"/>
        </w:rPr>
      </w:pPr>
    </w:p>
    <w:p w14:paraId="29ACC54A" w14:textId="2D075703" w:rsidR="002A090C" w:rsidRDefault="00000000">
      <w:pPr>
        <w:pStyle w:val="Default"/>
        <w:numPr>
          <w:ilvl w:val="0"/>
          <w:numId w:val="1"/>
        </w:numPr>
        <w:jc w:val="both"/>
        <w:rPr>
          <w:rFonts w:eastAsia="Times New Roman"/>
          <w:color w:val="auto"/>
          <w:sz w:val="22"/>
          <w:szCs w:val="22"/>
        </w:rPr>
      </w:pPr>
      <w:r>
        <w:rPr>
          <w:rFonts w:eastAsia="Times New Roman"/>
          <w:color w:val="auto"/>
          <w:sz w:val="22"/>
          <w:szCs w:val="22"/>
        </w:rPr>
        <w:t xml:space="preserve">Se le explicó detalladamente que dicho ajuste fiscal impacta de manera directa y sustancial el presupuesto designado a esta Gerencia, limitando fáctica y jurídicamente la posibilidad de mantener la totalidad de los contratos de prestación de servicios vigentes en 2025. Se le expuso que, tras un análisis de necesidades y cargas financieras, las estrategias </w:t>
      </w:r>
      <w:r w:rsidR="00BC1543">
        <w:rPr>
          <w:rFonts w:eastAsia="Times New Roman"/>
          <w:color w:val="auto"/>
          <w:sz w:val="22"/>
          <w:szCs w:val="22"/>
        </w:rPr>
        <w:t xml:space="preserve">a </w:t>
      </w:r>
      <w:r>
        <w:rPr>
          <w:rFonts w:eastAsia="Times New Roman"/>
          <w:color w:val="auto"/>
          <w:sz w:val="22"/>
          <w:szCs w:val="22"/>
        </w:rPr>
        <w:t xml:space="preserve">cargo </w:t>
      </w:r>
      <w:r w:rsidR="00BC1543">
        <w:rPr>
          <w:rFonts w:eastAsia="Times New Roman"/>
          <w:color w:val="auto"/>
          <w:sz w:val="22"/>
          <w:szCs w:val="22"/>
        </w:rPr>
        <w:t xml:space="preserve">de la Gerencia </w:t>
      </w:r>
      <w:r>
        <w:rPr>
          <w:rFonts w:eastAsia="Times New Roman"/>
          <w:color w:val="auto"/>
          <w:sz w:val="22"/>
          <w:szCs w:val="22"/>
        </w:rPr>
        <w:t>sufrieron una afectación que impide su continuidad en los mismos términos.</w:t>
      </w:r>
    </w:p>
    <w:p w14:paraId="6419603A" w14:textId="77777777" w:rsidR="002A090C" w:rsidRDefault="002A090C">
      <w:pPr>
        <w:pStyle w:val="Default"/>
        <w:ind w:left="720"/>
        <w:jc w:val="both"/>
        <w:rPr>
          <w:rFonts w:eastAsia="Times New Roman"/>
          <w:color w:val="auto"/>
          <w:sz w:val="22"/>
          <w:szCs w:val="22"/>
        </w:rPr>
      </w:pPr>
    </w:p>
    <w:p w14:paraId="3C8D81B0" w14:textId="77777777" w:rsidR="002A090C" w:rsidRDefault="00000000">
      <w:pPr>
        <w:pStyle w:val="Default"/>
        <w:numPr>
          <w:ilvl w:val="0"/>
          <w:numId w:val="1"/>
        </w:numPr>
        <w:jc w:val="both"/>
        <w:rPr>
          <w:rFonts w:eastAsia="Times New Roman"/>
          <w:color w:val="auto"/>
          <w:sz w:val="22"/>
          <w:szCs w:val="22"/>
        </w:rPr>
      </w:pPr>
      <w:r>
        <w:rPr>
          <w:rFonts w:eastAsia="Times New Roman"/>
          <w:color w:val="auto"/>
          <w:sz w:val="22"/>
          <w:szCs w:val="22"/>
        </w:rPr>
        <w:t>En dicha oportunidad, usted manifestó expresamente su comprensión frente a la situación administrativa y financiera expuesta, llegando incluso a expresar su agradecimiento a la Entidad y a esta Gerencia por la oportunidad de haber prestado sus servicios durante el presente año contractual. No obstante, con posterioridad a dicha aceptación verbal, la entidad recibió su petición escrita, en la cual cambia su postura frente a lo conversado.</w:t>
      </w:r>
    </w:p>
    <w:p w14:paraId="1BB51701" w14:textId="77777777" w:rsidR="002A090C" w:rsidRDefault="002A090C">
      <w:pPr>
        <w:pStyle w:val="Default"/>
        <w:jc w:val="both"/>
        <w:rPr>
          <w:rFonts w:eastAsia="Times New Roman"/>
          <w:color w:val="auto"/>
          <w:sz w:val="22"/>
          <w:szCs w:val="22"/>
        </w:rPr>
      </w:pPr>
    </w:p>
    <w:p w14:paraId="0D404195" w14:textId="77777777" w:rsidR="002A090C" w:rsidRDefault="00000000">
      <w:pPr>
        <w:pStyle w:val="Default"/>
        <w:jc w:val="both"/>
        <w:rPr>
          <w:rFonts w:eastAsia="Times New Roman"/>
          <w:b/>
          <w:bCs/>
          <w:color w:val="auto"/>
          <w:sz w:val="22"/>
          <w:szCs w:val="22"/>
        </w:rPr>
      </w:pPr>
      <w:r>
        <w:rPr>
          <w:rFonts w:eastAsia="Times New Roman"/>
          <w:b/>
          <w:bCs/>
          <w:color w:val="auto"/>
          <w:sz w:val="22"/>
          <w:szCs w:val="22"/>
        </w:rPr>
        <w:t>II. CONSIDERACIONES JURÍDICAS</w:t>
      </w:r>
    </w:p>
    <w:p w14:paraId="752097CA" w14:textId="77777777" w:rsidR="002A090C" w:rsidRDefault="002A090C">
      <w:pPr>
        <w:pStyle w:val="Default"/>
        <w:jc w:val="both"/>
        <w:rPr>
          <w:rFonts w:eastAsia="Times New Roman"/>
          <w:color w:val="auto"/>
          <w:sz w:val="22"/>
          <w:szCs w:val="22"/>
        </w:rPr>
      </w:pPr>
    </w:p>
    <w:p w14:paraId="7E6C1617" w14:textId="77777777" w:rsidR="002A090C" w:rsidRDefault="00000000">
      <w:pPr>
        <w:pStyle w:val="Default"/>
        <w:jc w:val="both"/>
        <w:rPr>
          <w:rFonts w:eastAsia="Times New Roman"/>
          <w:color w:val="auto"/>
          <w:sz w:val="22"/>
          <w:szCs w:val="22"/>
        </w:rPr>
      </w:pPr>
      <w:r>
        <w:rPr>
          <w:rFonts w:eastAsia="Times New Roman"/>
          <w:color w:val="auto"/>
          <w:sz w:val="22"/>
          <w:szCs w:val="22"/>
        </w:rPr>
        <w:lastRenderedPageBreak/>
        <w:t>Para resolver sus pretensiones de adición y continuidad "automática" o "reforzada", es necesario remitirnos a la naturaleza jurídica estricta del vínculo que usted sostiene con la entidad.</w:t>
      </w:r>
    </w:p>
    <w:p w14:paraId="13987E59" w14:textId="77777777" w:rsidR="002A090C" w:rsidRDefault="002A090C">
      <w:pPr>
        <w:pStyle w:val="Default"/>
        <w:jc w:val="both"/>
        <w:rPr>
          <w:rFonts w:eastAsia="Times New Roman"/>
          <w:color w:val="auto"/>
          <w:sz w:val="22"/>
          <w:szCs w:val="22"/>
        </w:rPr>
      </w:pPr>
    </w:p>
    <w:p w14:paraId="5C33D7E6" w14:textId="77777777" w:rsidR="002A090C" w:rsidRDefault="00000000">
      <w:pPr>
        <w:pStyle w:val="Default"/>
        <w:jc w:val="both"/>
        <w:rPr>
          <w:rFonts w:eastAsia="Times New Roman"/>
          <w:b/>
          <w:bCs/>
          <w:color w:val="auto"/>
          <w:sz w:val="22"/>
          <w:szCs w:val="22"/>
        </w:rPr>
      </w:pPr>
      <w:r>
        <w:rPr>
          <w:rFonts w:eastAsia="Times New Roman"/>
          <w:b/>
          <w:bCs/>
          <w:color w:val="auto"/>
          <w:sz w:val="22"/>
          <w:szCs w:val="22"/>
        </w:rPr>
        <w:t>A. Naturaleza Civil y no Laboral del Contrato de Prestación de Servicios</w:t>
      </w:r>
    </w:p>
    <w:p w14:paraId="4BEE7BE7" w14:textId="77777777" w:rsidR="002A090C" w:rsidRDefault="002A090C">
      <w:pPr>
        <w:pStyle w:val="Default"/>
        <w:jc w:val="both"/>
        <w:rPr>
          <w:rFonts w:eastAsia="Times New Roman"/>
          <w:color w:val="auto"/>
          <w:sz w:val="22"/>
          <w:szCs w:val="22"/>
        </w:rPr>
      </w:pPr>
    </w:p>
    <w:p w14:paraId="17143598" w14:textId="77777777" w:rsidR="002A090C" w:rsidRDefault="00000000">
      <w:pPr>
        <w:pStyle w:val="Default"/>
        <w:jc w:val="both"/>
        <w:rPr>
          <w:rFonts w:eastAsia="Times New Roman"/>
          <w:color w:val="auto"/>
          <w:sz w:val="22"/>
          <w:szCs w:val="22"/>
        </w:rPr>
      </w:pPr>
      <w:r>
        <w:rPr>
          <w:rFonts w:eastAsia="Times New Roman"/>
          <w:color w:val="auto"/>
          <w:sz w:val="22"/>
          <w:szCs w:val="22"/>
        </w:rPr>
        <w:t>El vínculo que une a los contratistas con el Estado se rige por la Ley 80 de 1993 (Estatuto General de Contratación de la Administración Pública). El artículo 32, numeral 3º de dicha norma, es taxativo al definir:</w:t>
      </w:r>
    </w:p>
    <w:p w14:paraId="7D58D88A" w14:textId="77777777" w:rsidR="002A090C" w:rsidRDefault="002A090C">
      <w:pPr>
        <w:pStyle w:val="Default"/>
        <w:jc w:val="both"/>
        <w:rPr>
          <w:rFonts w:eastAsia="Times New Roman"/>
          <w:color w:val="auto"/>
          <w:sz w:val="22"/>
          <w:szCs w:val="22"/>
        </w:rPr>
      </w:pPr>
    </w:p>
    <w:p w14:paraId="54781B8B" w14:textId="77777777" w:rsidR="002A090C" w:rsidRDefault="00000000">
      <w:pPr>
        <w:pStyle w:val="Default"/>
        <w:jc w:val="both"/>
        <w:rPr>
          <w:rFonts w:eastAsia="Times New Roman"/>
          <w:color w:val="auto"/>
          <w:sz w:val="22"/>
          <w:szCs w:val="22"/>
        </w:rPr>
      </w:pPr>
      <w:r>
        <w:rPr>
          <w:rFonts w:eastAsia="Times New Roman"/>
          <w:color w:val="auto"/>
          <w:sz w:val="22"/>
          <w:szCs w:val="22"/>
        </w:rPr>
        <w:t>“</w:t>
      </w:r>
      <w:r>
        <w:rPr>
          <w:rFonts w:eastAsia="Times New Roman"/>
          <w:i/>
          <w:iCs/>
          <w:color w:val="auto"/>
          <w:sz w:val="20"/>
          <w:szCs w:val="20"/>
        </w:rPr>
        <w:t>3o. Contrato de prestación de servicios. 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 En ningún caso estos contratos generan relación laboral ni prestaciones sociales y se celebrarán por el término estrictamente indispensable.</w:t>
      </w:r>
      <w:r>
        <w:rPr>
          <w:rFonts w:eastAsia="Times New Roman"/>
          <w:color w:val="auto"/>
          <w:sz w:val="22"/>
          <w:szCs w:val="22"/>
        </w:rPr>
        <w:t>”.</w:t>
      </w:r>
    </w:p>
    <w:p w14:paraId="1EC5959D" w14:textId="77777777" w:rsidR="002A090C" w:rsidRDefault="002A090C">
      <w:pPr>
        <w:pStyle w:val="Default"/>
        <w:jc w:val="both"/>
        <w:rPr>
          <w:rFonts w:eastAsia="Times New Roman"/>
          <w:color w:val="auto"/>
          <w:sz w:val="22"/>
          <w:szCs w:val="22"/>
        </w:rPr>
      </w:pPr>
    </w:p>
    <w:p w14:paraId="1D097404" w14:textId="77777777" w:rsidR="002A090C" w:rsidRDefault="00000000">
      <w:pPr>
        <w:pStyle w:val="Default"/>
        <w:jc w:val="both"/>
        <w:rPr>
          <w:rFonts w:eastAsia="Times New Roman"/>
          <w:color w:val="auto"/>
          <w:sz w:val="22"/>
          <w:szCs w:val="22"/>
        </w:rPr>
      </w:pPr>
      <w:r>
        <w:rPr>
          <w:rFonts w:eastAsia="Times New Roman"/>
          <w:color w:val="auto"/>
          <w:sz w:val="22"/>
          <w:szCs w:val="22"/>
        </w:rPr>
        <w:t>De la norma citada se desprende que el Contrato de Prestación de Servicios Profesionales o de Apoyo a la Gestión es una figura eminentemente de origen civil y estatal, no laboral. Por lo tanto, no está sujeto a la legislación del trabajo (Código Sustantivo del Trabajo) ni se considera un vínculo laboral, dado que en él se encuentra ausente el elemento esencial de la "</w:t>
      </w:r>
      <w:r>
        <w:rPr>
          <w:rFonts w:eastAsia="Times New Roman"/>
          <w:i/>
          <w:iCs/>
          <w:color w:val="auto"/>
          <w:sz w:val="22"/>
          <w:szCs w:val="22"/>
        </w:rPr>
        <w:t>subordinación</w:t>
      </w:r>
      <w:r>
        <w:rPr>
          <w:rFonts w:eastAsia="Times New Roman"/>
          <w:color w:val="auto"/>
          <w:sz w:val="22"/>
          <w:szCs w:val="22"/>
        </w:rPr>
        <w:t>".</w:t>
      </w:r>
    </w:p>
    <w:p w14:paraId="0EB477FA" w14:textId="77777777" w:rsidR="002A090C" w:rsidRDefault="002A090C">
      <w:pPr>
        <w:pStyle w:val="Default"/>
        <w:jc w:val="both"/>
        <w:rPr>
          <w:rFonts w:eastAsia="Times New Roman"/>
          <w:color w:val="auto"/>
          <w:sz w:val="22"/>
          <w:szCs w:val="22"/>
        </w:rPr>
      </w:pPr>
    </w:p>
    <w:p w14:paraId="3C6B5FFA" w14:textId="77777777" w:rsidR="002A090C" w:rsidRDefault="00000000">
      <w:pPr>
        <w:pStyle w:val="Default"/>
        <w:jc w:val="both"/>
        <w:rPr>
          <w:rFonts w:eastAsia="Times New Roman"/>
          <w:color w:val="auto"/>
          <w:sz w:val="22"/>
          <w:szCs w:val="22"/>
        </w:rPr>
      </w:pPr>
      <w:r>
        <w:rPr>
          <w:rFonts w:eastAsia="Times New Roman"/>
          <w:color w:val="auto"/>
          <w:sz w:val="22"/>
          <w:szCs w:val="22"/>
        </w:rPr>
        <w:t>El Consejo de Estado, máximo órgano de la Jurisdicción de lo Contencioso Administrativo, ha sido pacífico en su jurisprudencia al señalar las características que impiden equiparar al contratista con un empleado público:</w:t>
      </w:r>
    </w:p>
    <w:p w14:paraId="7E4DCF76" w14:textId="77777777" w:rsidR="002A090C" w:rsidRDefault="002A090C">
      <w:pPr>
        <w:pStyle w:val="Default"/>
        <w:jc w:val="both"/>
        <w:rPr>
          <w:rFonts w:eastAsia="Times New Roman"/>
          <w:color w:val="auto"/>
          <w:sz w:val="22"/>
          <w:szCs w:val="22"/>
        </w:rPr>
      </w:pPr>
    </w:p>
    <w:p w14:paraId="0A1CD350" w14:textId="77777777" w:rsidR="002A090C" w:rsidRDefault="00000000">
      <w:pPr>
        <w:pStyle w:val="Default"/>
        <w:jc w:val="both"/>
        <w:rPr>
          <w:rFonts w:eastAsia="Times New Roman"/>
          <w:color w:val="auto"/>
          <w:sz w:val="22"/>
          <w:szCs w:val="22"/>
        </w:rPr>
      </w:pPr>
      <w:r>
        <w:rPr>
          <w:rFonts w:eastAsia="Times New Roman"/>
          <w:color w:val="auto"/>
          <w:sz w:val="22"/>
          <w:szCs w:val="22"/>
        </w:rPr>
        <w:t>En primer lugar, el contrato se celebra por el término estrictamente indispensable. Una vez vencido el plazo (en su caso, el 26 de diciembre de 2025), el vínculo jurídico desaparece del mundo legal. Igualmente, el contratista goza de autonomía e independencia técnica y administrativa para la ejecución de las prestaciones.</w:t>
      </w:r>
    </w:p>
    <w:p w14:paraId="0EE357D7" w14:textId="77777777" w:rsidR="002A090C" w:rsidRDefault="002A090C">
      <w:pPr>
        <w:pStyle w:val="Default"/>
        <w:jc w:val="both"/>
        <w:rPr>
          <w:rFonts w:eastAsia="Times New Roman"/>
          <w:color w:val="auto"/>
          <w:sz w:val="22"/>
          <w:szCs w:val="22"/>
        </w:rPr>
      </w:pPr>
    </w:p>
    <w:p w14:paraId="42AD9A4A" w14:textId="77777777" w:rsidR="002A090C" w:rsidRDefault="00000000">
      <w:pPr>
        <w:pStyle w:val="Default"/>
        <w:jc w:val="both"/>
        <w:rPr>
          <w:rFonts w:eastAsia="Times New Roman"/>
          <w:color w:val="auto"/>
          <w:sz w:val="22"/>
          <w:szCs w:val="22"/>
        </w:rPr>
      </w:pPr>
      <w:r>
        <w:rPr>
          <w:rFonts w:eastAsia="Times New Roman"/>
          <w:color w:val="auto"/>
          <w:sz w:val="22"/>
          <w:szCs w:val="22"/>
        </w:rPr>
        <w:t>En concordancia, la Corte Constitucional, mediante Sentencia C-154 de 1997, ratificó que el contrato de prestación de servicios corresponde a una actividad independiente, sin la potestad disciplinaria o de mando propia de la relación laboral.</w:t>
      </w:r>
    </w:p>
    <w:p w14:paraId="1904D1CA" w14:textId="77777777" w:rsidR="002A090C" w:rsidRDefault="002A090C">
      <w:pPr>
        <w:pStyle w:val="Default"/>
        <w:jc w:val="both"/>
        <w:rPr>
          <w:rFonts w:eastAsia="Times New Roman"/>
          <w:color w:val="auto"/>
          <w:sz w:val="22"/>
          <w:szCs w:val="22"/>
        </w:rPr>
      </w:pPr>
    </w:p>
    <w:p w14:paraId="68F1021B" w14:textId="77777777" w:rsidR="002A090C" w:rsidRDefault="00000000">
      <w:pPr>
        <w:pStyle w:val="Default"/>
        <w:jc w:val="both"/>
        <w:rPr>
          <w:rFonts w:eastAsia="Times New Roman"/>
          <w:color w:val="auto"/>
          <w:sz w:val="22"/>
          <w:szCs w:val="22"/>
        </w:rPr>
      </w:pPr>
      <w:r>
        <w:rPr>
          <w:rFonts w:eastAsia="Times New Roman"/>
          <w:color w:val="auto"/>
          <w:sz w:val="22"/>
          <w:szCs w:val="22"/>
        </w:rPr>
        <w:t>En consecuencia, pretender la aplicación automática de figuras propias del derecho laboral (como la estabilidad absoluta) desnaturalizaría el contrato estatal regido por la Ley 80 de 1993, convirtiéndolo de facto en una relación laboral indefinida, lo cual está prohibido constitucionalmente sin el previo concurso de méritos.</w:t>
      </w:r>
    </w:p>
    <w:p w14:paraId="00EAA9D8" w14:textId="77777777" w:rsidR="002A090C" w:rsidRDefault="002A090C">
      <w:pPr>
        <w:pStyle w:val="Default"/>
        <w:jc w:val="both"/>
        <w:rPr>
          <w:rFonts w:eastAsia="Times New Roman"/>
          <w:color w:val="auto"/>
          <w:sz w:val="22"/>
          <w:szCs w:val="22"/>
        </w:rPr>
      </w:pPr>
    </w:p>
    <w:p w14:paraId="45826363" w14:textId="77777777" w:rsidR="002A090C" w:rsidRDefault="00000000">
      <w:pPr>
        <w:pStyle w:val="Default"/>
        <w:jc w:val="both"/>
        <w:rPr>
          <w:rFonts w:eastAsia="Times New Roman"/>
          <w:b/>
          <w:bCs/>
          <w:color w:val="auto"/>
          <w:sz w:val="22"/>
          <w:szCs w:val="22"/>
        </w:rPr>
      </w:pPr>
      <w:r>
        <w:rPr>
          <w:rFonts w:eastAsia="Times New Roman"/>
          <w:b/>
          <w:bCs/>
          <w:color w:val="auto"/>
          <w:sz w:val="22"/>
          <w:szCs w:val="22"/>
        </w:rPr>
        <w:t>B. El Principio de Legalidad Presupuestal</w:t>
      </w:r>
    </w:p>
    <w:p w14:paraId="362BB558" w14:textId="77777777" w:rsidR="002A090C" w:rsidRDefault="002A090C">
      <w:pPr>
        <w:pStyle w:val="Default"/>
        <w:jc w:val="both"/>
        <w:rPr>
          <w:rFonts w:eastAsia="Times New Roman"/>
          <w:color w:val="auto"/>
          <w:sz w:val="22"/>
          <w:szCs w:val="22"/>
        </w:rPr>
      </w:pPr>
    </w:p>
    <w:p w14:paraId="45D8B0E2" w14:textId="77777777" w:rsidR="002A090C" w:rsidRDefault="00000000">
      <w:pPr>
        <w:pStyle w:val="Default"/>
        <w:jc w:val="both"/>
        <w:rPr>
          <w:rFonts w:eastAsia="Times New Roman"/>
          <w:color w:val="auto"/>
          <w:sz w:val="22"/>
          <w:szCs w:val="22"/>
        </w:rPr>
      </w:pPr>
      <w:r>
        <w:rPr>
          <w:rFonts w:eastAsia="Times New Roman"/>
          <w:color w:val="auto"/>
          <w:sz w:val="22"/>
          <w:szCs w:val="22"/>
        </w:rPr>
        <w:t>Su solicitud de "</w:t>
      </w:r>
      <w:r>
        <w:rPr>
          <w:rFonts w:eastAsia="Times New Roman"/>
          <w:i/>
          <w:iCs/>
          <w:color w:val="auto"/>
          <w:sz w:val="22"/>
          <w:szCs w:val="22"/>
        </w:rPr>
        <w:t>continuidad contractual vigencia 2026</w:t>
      </w:r>
      <w:r>
        <w:rPr>
          <w:rFonts w:eastAsia="Times New Roman"/>
          <w:color w:val="auto"/>
          <w:sz w:val="22"/>
          <w:szCs w:val="22"/>
        </w:rPr>
        <w:t>" y "trámite de adición" choca frontalmente con normas de orden público presupuestal que son de obligatorio cumplimiento para el ordenador del gasto.</w:t>
      </w:r>
    </w:p>
    <w:p w14:paraId="2506A59F" w14:textId="77777777" w:rsidR="002A090C" w:rsidRDefault="002A090C">
      <w:pPr>
        <w:pStyle w:val="Default"/>
        <w:jc w:val="both"/>
        <w:rPr>
          <w:rFonts w:eastAsia="Times New Roman"/>
          <w:color w:val="auto"/>
          <w:sz w:val="22"/>
          <w:szCs w:val="22"/>
        </w:rPr>
      </w:pPr>
    </w:p>
    <w:p w14:paraId="0B0C7E3C" w14:textId="77777777" w:rsidR="002A090C" w:rsidRDefault="00000000">
      <w:pPr>
        <w:pStyle w:val="Default"/>
        <w:jc w:val="both"/>
        <w:rPr>
          <w:rFonts w:eastAsia="Times New Roman"/>
          <w:color w:val="auto"/>
          <w:sz w:val="22"/>
          <w:szCs w:val="22"/>
        </w:rPr>
      </w:pPr>
      <w:r>
        <w:rPr>
          <w:rFonts w:eastAsia="Times New Roman"/>
          <w:color w:val="auto"/>
          <w:sz w:val="22"/>
          <w:szCs w:val="22"/>
        </w:rPr>
        <w:t>El Estatuto Orgánico del Presupuesto (Decreto 111 de 1996), en su artículo 71, establece el principio de legalidad del gasto, prohibiendo a las entidades públicas contraer obligaciones sobre apropiaciones inexistentes, o en exceso del saldo disponible. La expedición del Certificado de Disponibilidad Presupuestal (CDP) es un requisito sine qua non (indispensable) para la existencia de cualquier contrato estatal.</w:t>
      </w:r>
    </w:p>
    <w:p w14:paraId="7953837C" w14:textId="77777777" w:rsidR="002A090C" w:rsidRDefault="002A090C">
      <w:pPr>
        <w:pStyle w:val="Default"/>
        <w:jc w:val="both"/>
        <w:rPr>
          <w:rFonts w:eastAsia="Times New Roman"/>
          <w:color w:val="auto"/>
          <w:sz w:val="22"/>
          <w:szCs w:val="22"/>
        </w:rPr>
      </w:pPr>
    </w:p>
    <w:p w14:paraId="13E81506" w14:textId="2B5DC19C" w:rsidR="002A090C" w:rsidRPr="00BC1543" w:rsidRDefault="00000000">
      <w:pPr>
        <w:pStyle w:val="Default"/>
        <w:jc w:val="both"/>
        <w:rPr>
          <w:rFonts w:eastAsia="Times New Roman"/>
          <w:color w:val="auto"/>
          <w:sz w:val="22"/>
          <w:szCs w:val="22"/>
        </w:rPr>
      </w:pPr>
      <w:r>
        <w:rPr>
          <w:rFonts w:eastAsia="Times New Roman"/>
          <w:color w:val="auto"/>
          <w:sz w:val="22"/>
          <w:szCs w:val="22"/>
        </w:rPr>
        <w:t>Como se le informó el 5 de diciembre, la Gerencia de Inserción Socioeconómica enfrenta una insuficiencia de recursos proyectada para la vigencia 2026. Esta situación fáctica implica que no existe la apropiación presupuestal necesaria para suscribir un nuevo contrato con usted</w:t>
      </w:r>
      <w:r w:rsidR="00BC1543">
        <w:rPr>
          <w:rFonts w:eastAsia="Times New Roman"/>
          <w:color w:val="FF0000"/>
          <w:sz w:val="22"/>
          <w:szCs w:val="22"/>
        </w:rPr>
        <w:t xml:space="preserve"> </w:t>
      </w:r>
      <w:r w:rsidR="00BC1543">
        <w:rPr>
          <w:rFonts w:eastAsia="Times New Roman"/>
          <w:color w:val="auto"/>
          <w:sz w:val="22"/>
          <w:szCs w:val="22"/>
        </w:rPr>
        <w:t xml:space="preserve">y/o total contratación existente en la vigencia 2025. </w:t>
      </w:r>
    </w:p>
    <w:p w14:paraId="497B4D16" w14:textId="77777777" w:rsidR="002A090C" w:rsidRDefault="002A090C">
      <w:pPr>
        <w:pStyle w:val="Default"/>
        <w:jc w:val="both"/>
        <w:rPr>
          <w:rFonts w:eastAsia="Times New Roman"/>
          <w:color w:val="auto"/>
          <w:sz w:val="22"/>
          <w:szCs w:val="22"/>
        </w:rPr>
      </w:pPr>
    </w:p>
    <w:p w14:paraId="1A4930E4" w14:textId="11A249FF" w:rsidR="002A090C" w:rsidRDefault="00000000">
      <w:pPr>
        <w:pStyle w:val="Default"/>
        <w:jc w:val="both"/>
        <w:rPr>
          <w:rFonts w:eastAsia="Times New Roman"/>
          <w:color w:val="auto"/>
          <w:sz w:val="22"/>
          <w:szCs w:val="22"/>
        </w:rPr>
      </w:pPr>
      <w:r>
        <w:rPr>
          <w:rFonts w:eastAsia="Times New Roman"/>
          <w:color w:val="auto"/>
          <w:sz w:val="22"/>
          <w:szCs w:val="22"/>
        </w:rPr>
        <w:t>Ordenar una contratación sin el respaldo presupuestal (CDP) implicaría para el funcionario público incurrir en faltas gravísimas de índole disciplinaria y fiscal, e incluso penal. Por ende, la disponibilidad presupuestal no es un capricho de la administración, sino un límite legal insuperable.</w:t>
      </w:r>
    </w:p>
    <w:p w14:paraId="04E563E3" w14:textId="77777777" w:rsidR="002A090C" w:rsidRDefault="002A090C">
      <w:pPr>
        <w:pStyle w:val="Default"/>
        <w:jc w:val="both"/>
        <w:rPr>
          <w:rFonts w:eastAsia="Times New Roman"/>
          <w:color w:val="auto"/>
          <w:sz w:val="22"/>
          <w:szCs w:val="22"/>
        </w:rPr>
      </w:pPr>
    </w:p>
    <w:p w14:paraId="6F35B2C2" w14:textId="07ADBA07" w:rsidR="002A090C" w:rsidRDefault="00000000">
      <w:pPr>
        <w:pStyle w:val="Default"/>
        <w:jc w:val="both"/>
        <w:rPr>
          <w:rFonts w:eastAsia="Times New Roman"/>
          <w:b/>
          <w:bCs/>
          <w:color w:val="auto"/>
          <w:sz w:val="22"/>
          <w:szCs w:val="22"/>
        </w:rPr>
      </w:pPr>
      <w:r>
        <w:rPr>
          <w:rFonts w:eastAsia="Times New Roman"/>
          <w:b/>
          <w:bCs/>
          <w:color w:val="auto"/>
          <w:sz w:val="22"/>
          <w:szCs w:val="22"/>
        </w:rPr>
        <w:lastRenderedPageBreak/>
        <w:t>III. ANÁLISIS DEL CASO CONCRETO Y RESPUESTA A SOLICITUDES DE PROTECCIÓN</w:t>
      </w:r>
    </w:p>
    <w:p w14:paraId="7A17BEA0" w14:textId="2E0044F5" w:rsidR="002A090C" w:rsidRDefault="002A090C">
      <w:pPr>
        <w:pStyle w:val="Default"/>
        <w:jc w:val="both"/>
        <w:rPr>
          <w:rFonts w:eastAsia="Times New Roman"/>
          <w:color w:val="auto"/>
          <w:sz w:val="22"/>
          <w:szCs w:val="22"/>
        </w:rPr>
      </w:pPr>
    </w:p>
    <w:p w14:paraId="7BF8ED98" w14:textId="1DD350C7" w:rsidR="002A090C" w:rsidRDefault="00000000">
      <w:pPr>
        <w:pStyle w:val="Default"/>
        <w:jc w:val="both"/>
        <w:rPr>
          <w:rFonts w:eastAsia="Times New Roman"/>
          <w:color w:val="auto"/>
          <w:sz w:val="22"/>
          <w:szCs w:val="22"/>
        </w:rPr>
      </w:pPr>
      <w:r>
        <w:rPr>
          <w:rFonts w:eastAsia="Times New Roman"/>
          <w:color w:val="auto"/>
          <w:sz w:val="22"/>
          <w:szCs w:val="22"/>
        </w:rPr>
        <w:t>Respecto a su solicitud de aplicación de medidas de protección reforzada por su condición de salud y madre cabeza de familia, es necesario hacer las siguientes precisiones jurisprudenciales:</w:t>
      </w:r>
    </w:p>
    <w:p w14:paraId="17BFC899" w14:textId="1E1E0088" w:rsidR="002A090C" w:rsidRDefault="002A090C">
      <w:pPr>
        <w:pStyle w:val="Default"/>
        <w:jc w:val="both"/>
        <w:rPr>
          <w:rFonts w:eastAsia="Times New Roman"/>
          <w:color w:val="auto"/>
          <w:sz w:val="22"/>
          <w:szCs w:val="22"/>
        </w:rPr>
      </w:pPr>
    </w:p>
    <w:p w14:paraId="337F4A1C" w14:textId="61113032" w:rsidR="002A090C" w:rsidRDefault="00000000">
      <w:pPr>
        <w:pStyle w:val="Default"/>
        <w:jc w:val="both"/>
        <w:rPr>
          <w:rFonts w:eastAsia="Times New Roman"/>
          <w:color w:val="auto"/>
          <w:sz w:val="22"/>
          <w:szCs w:val="22"/>
        </w:rPr>
      </w:pPr>
      <w:r>
        <w:rPr>
          <w:rFonts w:eastAsia="Times New Roman"/>
          <w:color w:val="auto"/>
          <w:sz w:val="22"/>
          <w:szCs w:val="22"/>
        </w:rPr>
        <w:t>Si bien la Corte Constitucional (Sentencias T-028/15, T-292/20, entre otras) ha extendido ciertas garantías del retén social a los contratistas de prestación de servicios, esta protección NO es absoluta. La jurisprudencia ha establecido que la estabilidad laboral reforzada cede (no aplica) cuando existe una causa objetiva para la no renovación.</w:t>
      </w:r>
    </w:p>
    <w:p w14:paraId="354AD450" w14:textId="77777777" w:rsidR="002A090C" w:rsidRDefault="002A090C">
      <w:pPr>
        <w:pStyle w:val="Default"/>
        <w:jc w:val="both"/>
        <w:rPr>
          <w:rFonts w:eastAsia="Times New Roman"/>
          <w:color w:val="auto"/>
          <w:sz w:val="22"/>
          <w:szCs w:val="22"/>
        </w:rPr>
      </w:pPr>
    </w:p>
    <w:p w14:paraId="12BFC720" w14:textId="77777777" w:rsidR="002A090C" w:rsidRDefault="00000000">
      <w:pPr>
        <w:pStyle w:val="Default"/>
        <w:jc w:val="both"/>
        <w:rPr>
          <w:rFonts w:eastAsia="Times New Roman"/>
          <w:color w:val="auto"/>
          <w:sz w:val="22"/>
          <w:szCs w:val="22"/>
        </w:rPr>
      </w:pPr>
      <w:r>
        <w:rPr>
          <w:rFonts w:eastAsia="Times New Roman"/>
          <w:color w:val="auto"/>
          <w:sz w:val="22"/>
          <w:szCs w:val="22"/>
        </w:rPr>
        <w:t>En el presente caso, se configuran dos causales objetivas que legitiman la actuación de la administración y desvirtúan cualquier indicio de discriminación:</w:t>
      </w:r>
    </w:p>
    <w:p w14:paraId="6246C3BB" w14:textId="77777777" w:rsidR="002A090C" w:rsidRDefault="002A090C">
      <w:pPr>
        <w:pStyle w:val="Default"/>
        <w:jc w:val="both"/>
        <w:rPr>
          <w:rFonts w:eastAsia="Times New Roman"/>
          <w:color w:val="auto"/>
          <w:sz w:val="22"/>
          <w:szCs w:val="22"/>
        </w:rPr>
      </w:pPr>
    </w:p>
    <w:p w14:paraId="4FCFC41C" w14:textId="77777777" w:rsidR="002A090C" w:rsidRDefault="00000000">
      <w:pPr>
        <w:pStyle w:val="Default"/>
        <w:numPr>
          <w:ilvl w:val="0"/>
          <w:numId w:val="2"/>
        </w:numPr>
        <w:jc w:val="both"/>
        <w:rPr>
          <w:rFonts w:eastAsia="Times New Roman"/>
          <w:color w:val="auto"/>
          <w:sz w:val="22"/>
          <w:szCs w:val="22"/>
        </w:rPr>
      </w:pPr>
      <w:r>
        <w:rPr>
          <w:rFonts w:eastAsia="Times New Roman"/>
          <w:color w:val="auto"/>
          <w:sz w:val="22"/>
          <w:szCs w:val="22"/>
        </w:rPr>
        <w:t>Su contrato tiene una fecha de terminación cierta y conocida por usted desde el inicio (26 de diciembre de 2025). La simple llegada de la fecha extingue las obligaciones mutuamente acordadas.</w:t>
      </w:r>
    </w:p>
    <w:p w14:paraId="70A34494" w14:textId="77777777" w:rsidR="002A090C" w:rsidRDefault="002A090C">
      <w:pPr>
        <w:pStyle w:val="Default"/>
        <w:ind w:left="720"/>
        <w:jc w:val="both"/>
        <w:rPr>
          <w:rFonts w:eastAsia="Times New Roman"/>
          <w:color w:val="auto"/>
          <w:sz w:val="22"/>
          <w:szCs w:val="22"/>
        </w:rPr>
      </w:pPr>
    </w:p>
    <w:p w14:paraId="428ADCDF" w14:textId="77777777" w:rsidR="002A090C" w:rsidRDefault="00000000">
      <w:pPr>
        <w:pStyle w:val="Default"/>
        <w:numPr>
          <w:ilvl w:val="0"/>
          <w:numId w:val="2"/>
        </w:numPr>
        <w:jc w:val="both"/>
        <w:rPr>
          <w:rFonts w:eastAsia="Times New Roman"/>
          <w:color w:val="auto"/>
          <w:sz w:val="22"/>
          <w:szCs w:val="22"/>
        </w:rPr>
      </w:pPr>
      <w:r>
        <w:rPr>
          <w:rFonts w:eastAsia="Times New Roman"/>
          <w:color w:val="auto"/>
          <w:sz w:val="22"/>
          <w:szCs w:val="22"/>
        </w:rPr>
        <w:t>La razón por la cual no se suscribe un nuevo contrato para 2026 no obedece a su condición de salud o familiar, sino a la disminución presupuestal y la reestructuración de necesidades de la Gerencia para el próximo año.</w:t>
      </w:r>
    </w:p>
    <w:p w14:paraId="644841A2" w14:textId="77777777" w:rsidR="002A090C" w:rsidRDefault="002A090C">
      <w:pPr>
        <w:pStyle w:val="Default"/>
        <w:jc w:val="both"/>
        <w:rPr>
          <w:rFonts w:eastAsia="Times New Roman"/>
          <w:color w:val="auto"/>
          <w:sz w:val="22"/>
          <w:szCs w:val="22"/>
        </w:rPr>
      </w:pPr>
    </w:p>
    <w:p w14:paraId="430ACFE6" w14:textId="77777777" w:rsidR="002A090C" w:rsidRDefault="00000000">
      <w:pPr>
        <w:pStyle w:val="Default"/>
        <w:jc w:val="both"/>
        <w:rPr>
          <w:rFonts w:eastAsia="Times New Roman"/>
          <w:color w:val="auto"/>
          <w:sz w:val="22"/>
          <w:szCs w:val="22"/>
        </w:rPr>
      </w:pPr>
      <w:r>
        <w:rPr>
          <w:rFonts w:eastAsia="Times New Roman"/>
          <w:color w:val="auto"/>
          <w:sz w:val="22"/>
          <w:szCs w:val="22"/>
        </w:rPr>
        <w:t>No existe un derecho indefinido a ser contratista del Estado. La renovación de un contrato de prestación de servicios depende exclusivamente de la persistencia de la necesidad específica y de la suficiencia presupuestal. Al desaparecer el soporte presupuestal para su rol específico en 2026, la entidad se encuentra en imposibilidad de acceder a su pretensión, sin que esto constituya una vulneración a sus derechos fundamentales.</w:t>
      </w:r>
    </w:p>
    <w:p w14:paraId="10D6818D" w14:textId="77777777" w:rsidR="002A090C" w:rsidRDefault="002A090C">
      <w:pPr>
        <w:pStyle w:val="Default"/>
        <w:jc w:val="both"/>
        <w:rPr>
          <w:rFonts w:eastAsia="Times New Roman"/>
          <w:color w:val="auto"/>
          <w:sz w:val="22"/>
          <w:szCs w:val="22"/>
        </w:rPr>
      </w:pPr>
    </w:p>
    <w:p w14:paraId="1034AD48" w14:textId="77777777" w:rsidR="002A090C" w:rsidRDefault="00000000">
      <w:pPr>
        <w:pStyle w:val="Default"/>
        <w:jc w:val="both"/>
        <w:rPr>
          <w:rFonts w:eastAsia="Times New Roman"/>
          <w:color w:val="auto"/>
          <w:sz w:val="22"/>
          <w:szCs w:val="22"/>
        </w:rPr>
      </w:pPr>
      <w:r>
        <w:rPr>
          <w:rFonts w:eastAsia="Times New Roman"/>
          <w:color w:val="auto"/>
          <w:sz w:val="22"/>
          <w:szCs w:val="22"/>
        </w:rPr>
        <w:t>Con fundamento en lo expuesto, se procede a resolver sus peticiones de la siguiente manera:</w:t>
      </w:r>
    </w:p>
    <w:p w14:paraId="4FE85954" w14:textId="77777777" w:rsidR="002A090C" w:rsidRDefault="002A090C">
      <w:pPr>
        <w:pStyle w:val="Default"/>
        <w:jc w:val="both"/>
        <w:rPr>
          <w:rFonts w:eastAsia="Times New Roman"/>
          <w:color w:val="auto"/>
          <w:sz w:val="22"/>
          <w:szCs w:val="22"/>
        </w:rPr>
      </w:pPr>
    </w:p>
    <w:p w14:paraId="1FB7D1DF" w14:textId="77777777" w:rsidR="002A090C" w:rsidRDefault="00000000">
      <w:pPr>
        <w:pStyle w:val="Default"/>
        <w:numPr>
          <w:ilvl w:val="0"/>
          <w:numId w:val="3"/>
        </w:numPr>
        <w:jc w:val="both"/>
        <w:rPr>
          <w:rFonts w:eastAsia="Times New Roman"/>
          <w:color w:val="auto"/>
          <w:sz w:val="22"/>
          <w:szCs w:val="22"/>
        </w:rPr>
      </w:pPr>
      <w:r>
        <w:rPr>
          <w:rFonts w:eastAsia="Times New Roman"/>
          <w:color w:val="auto"/>
          <w:sz w:val="22"/>
          <w:szCs w:val="22"/>
        </w:rPr>
        <w:t>Frente a la solicitud de continuidad y adición: No es posible acceder a su solicitud de adición del contrato actual ni a la suscripción de un nuevo contrato para la vigencia 2026. Lo anterior, por cuanto no se cuenta con la disponibilidad presupuestal necesaria (Causal Objetiva) y el rol que usted desempeñaba no está contemplado en la planeación financiera de la Gerencia para el próximo año.</w:t>
      </w:r>
    </w:p>
    <w:p w14:paraId="69FB1021" w14:textId="77777777" w:rsidR="002A090C" w:rsidRDefault="002A090C">
      <w:pPr>
        <w:pStyle w:val="Default"/>
        <w:ind w:left="720"/>
        <w:jc w:val="both"/>
        <w:rPr>
          <w:rFonts w:eastAsia="Times New Roman"/>
          <w:color w:val="auto"/>
          <w:sz w:val="22"/>
          <w:szCs w:val="22"/>
        </w:rPr>
      </w:pPr>
    </w:p>
    <w:p w14:paraId="5FA6C410" w14:textId="77777777" w:rsidR="002A090C" w:rsidRDefault="00000000">
      <w:pPr>
        <w:pStyle w:val="Default"/>
        <w:numPr>
          <w:ilvl w:val="0"/>
          <w:numId w:val="3"/>
        </w:numPr>
        <w:jc w:val="both"/>
        <w:rPr>
          <w:rFonts w:eastAsia="Times New Roman"/>
          <w:color w:val="auto"/>
          <w:sz w:val="22"/>
          <w:szCs w:val="22"/>
        </w:rPr>
      </w:pPr>
      <w:r>
        <w:rPr>
          <w:rFonts w:eastAsia="Times New Roman"/>
          <w:color w:val="auto"/>
          <w:sz w:val="22"/>
          <w:szCs w:val="22"/>
        </w:rPr>
        <w:t>Frente a las medidas de protección: Se le informa que la terminación de su vínculo obedece estrictamente al vencimiento del plazo pactado y a razones financieras objetivas de la entidad. No es posible jurídicamente utilizar la figura de la protección constitucional para obligar a la administración a celebrar contratos sin respaldo presupuestal (Art. 71 Decreto 111 de 1996), máxime cuando la naturaleza de su vinculación es temporal y de coordinación administrativa, no laboral.</w:t>
      </w:r>
    </w:p>
    <w:p w14:paraId="1BBC803E" w14:textId="77777777" w:rsidR="002A090C" w:rsidRDefault="002A090C">
      <w:pPr>
        <w:pStyle w:val="Default"/>
        <w:ind w:left="720"/>
        <w:jc w:val="both"/>
        <w:rPr>
          <w:rFonts w:eastAsia="Times New Roman"/>
          <w:color w:val="auto"/>
          <w:sz w:val="22"/>
          <w:szCs w:val="22"/>
        </w:rPr>
      </w:pPr>
    </w:p>
    <w:p w14:paraId="2990899D" w14:textId="77777777" w:rsidR="002A090C" w:rsidRDefault="00000000">
      <w:pPr>
        <w:pStyle w:val="Default"/>
        <w:numPr>
          <w:ilvl w:val="0"/>
          <w:numId w:val="3"/>
        </w:numPr>
        <w:jc w:val="both"/>
        <w:rPr>
          <w:rFonts w:eastAsia="Times New Roman"/>
          <w:color w:val="auto"/>
          <w:sz w:val="22"/>
          <w:szCs w:val="22"/>
        </w:rPr>
      </w:pPr>
      <w:r>
        <w:rPr>
          <w:rFonts w:eastAsia="Times New Roman"/>
          <w:color w:val="auto"/>
          <w:sz w:val="22"/>
          <w:szCs w:val="22"/>
        </w:rPr>
        <w:t>Frente a la información sobre proceso 2026: Dado que no existe disponibilidad presupuestal para su perfil, no se iniciará trámite de contratación con usted para la próxima vigencia, razón por la cual no es procedente solicitar documentación ni requisitos adicionales.</w:t>
      </w:r>
    </w:p>
    <w:p w14:paraId="28FC23A1" w14:textId="77777777" w:rsidR="002A090C" w:rsidRDefault="002A090C">
      <w:pPr>
        <w:pStyle w:val="Default"/>
        <w:jc w:val="both"/>
        <w:rPr>
          <w:rFonts w:eastAsia="Times New Roman"/>
          <w:color w:val="auto"/>
          <w:sz w:val="22"/>
          <w:szCs w:val="22"/>
        </w:rPr>
      </w:pPr>
    </w:p>
    <w:p w14:paraId="6BEF97ED" w14:textId="77777777" w:rsidR="002A090C" w:rsidRDefault="00000000">
      <w:pPr>
        <w:pStyle w:val="Default"/>
        <w:jc w:val="both"/>
        <w:rPr>
          <w:rFonts w:eastAsia="Times New Roman"/>
          <w:color w:val="auto"/>
          <w:sz w:val="22"/>
          <w:szCs w:val="22"/>
        </w:rPr>
      </w:pPr>
      <w:r>
        <w:rPr>
          <w:rFonts w:eastAsia="Times New Roman"/>
          <w:color w:val="auto"/>
          <w:sz w:val="22"/>
          <w:szCs w:val="22"/>
        </w:rPr>
        <w:t>Así las cosas y conforme a lo anterior, dentro de los términos de ley se otorga respuesta clara y de fondo a la solicitud efectuada.</w:t>
      </w:r>
    </w:p>
    <w:p w14:paraId="61A44107" w14:textId="5B755CE2" w:rsidR="002A090C" w:rsidRDefault="008F5DA4">
      <w:pPr>
        <w:pStyle w:val="Default"/>
        <w:jc w:val="both"/>
        <w:rPr>
          <w:rFonts w:eastAsia="Times New Roman"/>
          <w:color w:val="auto"/>
          <w:sz w:val="22"/>
          <w:szCs w:val="22"/>
        </w:rPr>
      </w:pPr>
      <w:r>
        <w:rPr>
          <w:noProof/>
          <w:color w:val="auto"/>
          <w:sz w:val="22"/>
          <w:szCs w:val="22"/>
        </w:rPr>
        <w:drawing>
          <wp:anchor distT="0" distB="0" distL="114300" distR="114300" simplePos="0" relativeHeight="251660800" behindDoc="1" locked="0" layoutInCell="1" allowOverlap="1" wp14:anchorId="2EF68E73" wp14:editId="4F378C10">
            <wp:simplePos x="0" y="0"/>
            <wp:positionH relativeFrom="column">
              <wp:posOffset>1006835</wp:posOffset>
            </wp:positionH>
            <wp:positionV relativeFrom="paragraph">
              <wp:posOffset>90565</wp:posOffset>
            </wp:positionV>
            <wp:extent cx="864339" cy="543464"/>
            <wp:effectExtent l="0" t="0" r="0" b="0"/>
            <wp:wrapNone/>
            <wp:docPr id="182747250" name="Imagen 3" descr="Un dibujo de una cara feliz&#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47250" name="Imagen 3" descr="Un dibujo de una cara feliz&#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64339" cy="543464"/>
                    </a:xfrm>
                    <a:prstGeom prst="rect">
                      <a:avLst/>
                    </a:prstGeom>
                  </pic:spPr>
                </pic:pic>
              </a:graphicData>
            </a:graphic>
            <wp14:sizeRelH relativeFrom="margin">
              <wp14:pctWidth>0</wp14:pctWidth>
            </wp14:sizeRelH>
            <wp14:sizeRelV relativeFrom="margin">
              <wp14:pctHeight>0</wp14:pctHeight>
            </wp14:sizeRelV>
          </wp:anchor>
        </w:drawing>
      </w:r>
    </w:p>
    <w:p w14:paraId="755F92F7" w14:textId="547D8E43" w:rsidR="002A090C" w:rsidRDefault="00000000">
      <w:pPr>
        <w:pStyle w:val="Default"/>
        <w:jc w:val="both"/>
        <w:rPr>
          <w:rFonts w:eastAsia="Times New Roman"/>
          <w:color w:val="auto"/>
          <w:sz w:val="22"/>
          <w:szCs w:val="22"/>
        </w:rPr>
      </w:pPr>
      <w:r>
        <w:rPr>
          <w:rFonts w:eastAsia="Times New Roman"/>
          <w:color w:val="auto"/>
          <w:sz w:val="22"/>
          <w:szCs w:val="22"/>
        </w:rPr>
        <w:t xml:space="preserve">Cordialmente, </w:t>
      </w:r>
    </w:p>
    <w:p w14:paraId="027E8510" w14:textId="77777777" w:rsidR="008F5DA4" w:rsidRDefault="008F5DA4">
      <w:pPr>
        <w:pStyle w:val="Default"/>
        <w:jc w:val="both"/>
        <w:rPr>
          <w:rFonts w:eastAsia="Times New Roman"/>
          <w:color w:val="auto"/>
          <w:sz w:val="22"/>
          <w:szCs w:val="22"/>
        </w:rPr>
      </w:pPr>
    </w:p>
    <w:p w14:paraId="78391EE1" w14:textId="5F5EE7E0" w:rsidR="008F5DA4" w:rsidRDefault="008F5DA4" w:rsidP="008F5DA4">
      <w:pPr>
        <w:pStyle w:val="Default"/>
        <w:jc w:val="both"/>
        <w:rPr>
          <w:rFonts w:eastAsia="Times New Roman"/>
          <w:b/>
          <w:bCs/>
          <w:color w:val="auto"/>
          <w:sz w:val="22"/>
          <w:szCs w:val="22"/>
        </w:rPr>
      </w:pPr>
      <w:r>
        <w:rPr>
          <w:rFonts w:eastAsia="Times New Roman"/>
          <w:b/>
          <w:bCs/>
          <w:color w:val="auto"/>
          <w:sz w:val="22"/>
          <w:szCs w:val="22"/>
        </w:rPr>
        <w:t>LEIDY ALEJANDRA GONZALEZ VILLANUEVA</w:t>
      </w:r>
    </w:p>
    <w:p w14:paraId="42628391" w14:textId="77777777" w:rsidR="008F5DA4" w:rsidRDefault="008F5DA4" w:rsidP="008F5DA4">
      <w:pPr>
        <w:pStyle w:val="Default"/>
        <w:jc w:val="both"/>
        <w:rPr>
          <w:rFonts w:eastAsia="Times New Roman"/>
          <w:sz w:val="22"/>
          <w:szCs w:val="22"/>
        </w:rPr>
      </w:pPr>
      <w:r>
        <w:rPr>
          <w:rFonts w:eastAsia="Times New Roman"/>
          <w:sz w:val="22"/>
          <w:szCs w:val="22"/>
        </w:rPr>
        <w:t>GERENTE Código 039 Grado 01</w:t>
      </w:r>
    </w:p>
    <w:p w14:paraId="181E323E" w14:textId="77777777" w:rsidR="008F5DA4" w:rsidRDefault="008F5DA4" w:rsidP="008F5DA4">
      <w:pPr>
        <w:pStyle w:val="Default"/>
        <w:tabs>
          <w:tab w:val="left" w:pos="7270"/>
        </w:tabs>
        <w:jc w:val="both"/>
        <w:rPr>
          <w:noProof/>
          <w:color w:val="auto"/>
          <w:sz w:val="22"/>
          <w:szCs w:val="22"/>
        </w:rPr>
      </w:pPr>
      <w:r>
        <w:rPr>
          <w:rFonts w:eastAsia="Times New Roman"/>
          <w:sz w:val="22"/>
          <w:szCs w:val="22"/>
        </w:rPr>
        <w:t>Gerencia Inserción Socioeconómica</w:t>
      </w:r>
      <w:r>
        <w:rPr>
          <w:noProof/>
          <w:color w:val="auto"/>
          <w:sz w:val="22"/>
          <w:szCs w:val="22"/>
        </w:rPr>
        <w:t xml:space="preserve"> </w:t>
      </w:r>
    </w:p>
    <w:p w14:paraId="05BE3435" w14:textId="4D1386FC" w:rsidR="002A090C" w:rsidRPr="008F5DA4" w:rsidRDefault="002A090C" w:rsidP="008F5DA4">
      <w:pPr>
        <w:pStyle w:val="Default"/>
        <w:tabs>
          <w:tab w:val="left" w:pos="7270"/>
        </w:tabs>
        <w:jc w:val="both"/>
        <w:rPr>
          <w:rFonts w:eastAsia="Times New Roman"/>
          <w:color w:val="auto"/>
          <w:sz w:val="22"/>
          <w:szCs w:val="22"/>
        </w:rPr>
      </w:pPr>
    </w:p>
    <w:tbl>
      <w:tblPr>
        <w:tblStyle w:val="Tablaconcuadrcula1"/>
        <w:tblpPr w:leftFromText="141" w:rightFromText="141" w:vertAnchor="text" w:horzAnchor="margin" w:tblpY="39"/>
        <w:tblW w:w="9208" w:type="dxa"/>
        <w:tblLayout w:type="fixed"/>
        <w:tblLook w:val="04A0" w:firstRow="1" w:lastRow="0" w:firstColumn="1" w:lastColumn="0" w:noHBand="0" w:noVBand="1"/>
      </w:tblPr>
      <w:tblGrid>
        <w:gridCol w:w="776"/>
        <w:gridCol w:w="6003"/>
        <w:gridCol w:w="1034"/>
        <w:gridCol w:w="1395"/>
      </w:tblGrid>
      <w:tr w:rsidR="002A090C" w14:paraId="10596D23" w14:textId="77777777" w:rsidTr="008F5DA4">
        <w:trPr>
          <w:trHeight w:val="265"/>
        </w:trPr>
        <w:tc>
          <w:tcPr>
            <w:tcW w:w="776" w:type="dxa"/>
          </w:tcPr>
          <w:p w14:paraId="6CE57F5C" w14:textId="77777777" w:rsidR="002A090C" w:rsidRDefault="002A090C">
            <w:pPr>
              <w:spacing w:after="0" w:line="240" w:lineRule="auto"/>
              <w:jc w:val="both"/>
              <w:rPr>
                <w:rFonts w:ascii="Times New Roman" w:eastAsia="Times New Roman" w:hAnsi="Times New Roman" w:cs="Times New Roman"/>
                <w:sz w:val="14"/>
                <w:szCs w:val="14"/>
                <w:lang w:val="es-CO"/>
              </w:rPr>
            </w:pPr>
          </w:p>
        </w:tc>
        <w:tc>
          <w:tcPr>
            <w:tcW w:w="6003" w:type="dxa"/>
          </w:tcPr>
          <w:p w14:paraId="3B53EFC6" w14:textId="77777777" w:rsidR="002A090C" w:rsidRDefault="00000000">
            <w:pPr>
              <w:spacing w:after="0" w:line="240" w:lineRule="auto"/>
              <w:jc w:val="both"/>
              <w:rPr>
                <w:rFonts w:ascii="Times New Roman" w:eastAsia="Times New Roman" w:hAnsi="Times New Roman" w:cs="Times New Roman"/>
                <w:sz w:val="14"/>
                <w:szCs w:val="14"/>
                <w:lang w:val="es-CO"/>
              </w:rPr>
            </w:pPr>
            <w:r>
              <w:rPr>
                <w:rFonts w:ascii="Times New Roman" w:eastAsia="Times New Roman" w:hAnsi="Times New Roman" w:cs="Times New Roman"/>
                <w:sz w:val="14"/>
                <w:szCs w:val="14"/>
                <w:lang w:val="es-CO"/>
              </w:rPr>
              <w:t>NOMBRE</w:t>
            </w:r>
          </w:p>
        </w:tc>
        <w:tc>
          <w:tcPr>
            <w:tcW w:w="1034" w:type="dxa"/>
          </w:tcPr>
          <w:p w14:paraId="1E224271" w14:textId="77777777" w:rsidR="002A090C" w:rsidRDefault="00000000">
            <w:pPr>
              <w:spacing w:after="0" w:line="240" w:lineRule="auto"/>
              <w:jc w:val="both"/>
              <w:rPr>
                <w:rFonts w:ascii="Times New Roman" w:eastAsia="Times New Roman" w:hAnsi="Times New Roman" w:cs="Times New Roman"/>
                <w:sz w:val="14"/>
                <w:szCs w:val="14"/>
                <w:lang w:val="es-CO"/>
              </w:rPr>
            </w:pPr>
            <w:r>
              <w:rPr>
                <w:rFonts w:ascii="Times New Roman" w:eastAsia="Times New Roman" w:hAnsi="Times New Roman" w:cs="Times New Roman"/>
                <w:sz w:val="14"/>
                <w:szCs w:val="14"/>
                <w:lang w:val="es-CO"/>
              </w:rPr>
              <w:t>FIRMA</w:t>
            </w:r>
          </w:p>
        </w:tc>
        <w:tc>
          <w:tcPr>
            <w:tcW w:w="1395" w:type="dxa"/>
          </w:tcPr>
          <w:p w14:paraId="235BB5C8" w14:textId="77777777" w:rsidR="002A090C" w:rsidRDefault="00000000">
            <w:pPr>
              <w:spacing w:after="0" w:line="240" w:lineRule="auto"/>
              <w:jc w:val="both"/>
              <w:rPr>
                <w:rFonts w:ascii="Times New Roman" w:eastAsia="Times New Roman" w:hAnsi="Times New Roman" w:cs="Times New Roman"/>
                <w:sz w:val="14"/>
                <w:szCs w:val="14"/>
                <w:lang w:val="es-CO"/>
              </w:rPr>
            </w:pPr>
            <w:r>
              <w:rPr>
                <w:rFonts w:ascii="Times New Roman" w:eastAsia="Times New Roman" w:hAnsi="Times New Roman" w:cs="Times New Roman"/>
                <w:sz w:val="14"/>
                <w:szCs w:val="14"/>
                <w:lang w:val="es-CO"/>
              </w:rPr>
              <w:t>FECHA</w:t>
            </w:r>
          </w:p>
        </w:tc>
      </w:tr>
      <w:tr w:rsidR="002A090C" w14:paraId="7B66F57A" w14:textId="77777777" w:rsidTr="008F5DA4">
        <w:trPr>
          <w:trHeight w:val="143"/>
        </w:trPr>
        <w:tc>
          <w:tcPr>
            <w:tcW w:w="776" w:type="dxa"/>
          </w:tcPr>
          <w:p w14:paraId="51BC8306" w14:textId="77777777" w:rsidR="002A090C" w:rsidRDefault="00000000">
            <w:pPr>
              <w:spacing w:after="0" w:line="240" w:lineRule="auto"/>
              <w:jc w:val="both"/>
              <w:rPr>
                <w:rFonts w:ascii="Times New Roman" w:eastAsia="Times New Roman" w:hAnsi="Times New Roman" w:cs="Times New Roman"/>
                <w:sz w:val="14"/>
                <w:szCs w:val="14"/>
                <w:lang w:val="es-CO"/>
              </w:rPr>
            </w:pPr>
            <w:r>
              <w:rPr>
                <w:rFonts w:ascii="Times New Roman" w:eastAsia="Times New Roman" w:hAnsi="Times New Roman" w:cs="Times New Roman"/>
                <w:sz w:val="14"/>
                <w:szCs w:val="14"/>
                <w:lang w:val="es-CO"/>
              </w:rPr>
              <w:t>Proyectó:</w:t>
            </w:r>
          </w:p>
        </w:tc>
        <w:tc>
          <w:tcPr>
            <w:tcW w:w="6003" w:type="dxa"/>
          </w:tcPr>
          <w:p w14:paraId="47FB5692" w14:textId="77777777" w:rsidR="002A090C" w:rsidRDefault="00000000">
            <w:pPr>
              <w:spacing w:after="0" w:line="240" w:lineRule="auto"/>
              <w:jc w:val="both"/>
              <w:rPr>
                <w:rFonts w:ascii="Times New Roman" w:eastAsia="Times New Roman" w:hAnsi="Times New Roman" w:cs="Times New Roman"/>
                <w:sz w:val="14"/>
                <w:szCs w:val="14"/>
                <w:lang w:val="es-CO"/>
              </w:rPr>
            </w:pPr>
            <w:r>
              <w:rPr>
                <w:rFonts w:ascii="Times New Roman" w:eastAsia="Times New Roman" w:hAnsi="Times New Roman" w:cs="Times New Roman"/>
                <w:sz w:val="14"/>
                <w:szCs w:val="14"/>
                <w:lang w:val="es-CO"/>
              </w:rPr>
              <w:t>Leidy Alejandra Gonzalez Villanueva, Gerente Inserción Socioeconómica, Código 039, Grado 01</w:t>
            </w:r>
          </w:p>
        </w:tc>
        <w:tc>
          <w:tcPr>
            <w:tcW w:w="1034" w:type="dxa"/>
          </w:tcPr>
          <w:p w14:paraId="1034ED44" w14:textId="012E40FA" w:rsidR="002A090C" w:rsidRDefault="008F5DA4">
            <w:pPr>
              <w:spacing w:after="0" w:line="240" w:lineRule="auto"/>
              <w:jc w:val="both"/>
              <w:rPr>
                <w:rFonts w:ascii="Times New Roman" w:eastAsia="Times New Roman" w:hAnsi="Times New Roman" w:cs="Times New Roman"/>
                <w:sz w:val="14"/>
                <w:szCs w:val="14"/>
                <w:lang w:val="es-CO"/>
              </w:rPr>
            </w:pPr>
            <w:r w:rsidRPr="008F5DA4">
              <w:rPr>
                <w:rFonts w:ascii="Times New Roman" w:eastAsia="Times New Roman" w:hAnsi="Times New Roman" w:cs="Times New Roman"/>
                <w:noProof/>
                <w:color w:val="7F7F7F" w:themeColor="text1" w:themeTint="80"/>
                <w:sz w:val="20"/>
                <w:szCs w:val="20"/>
                <w:highlight w:val="lightGray"/>
                <w:lang w:val="es-CO" w:eastAsia="es-CO"/>
              </w:rPr>
              <w:drawing>
                <wp:anchor distT="0" distB="0" distL="0" distR="0" simplePos="0" relativeHeight="251650560" behindDoc="1" locked="0" layoutInCell="1" allowOverlap="1" wp14:anchorId="069A8725" wp14:editId="693BB8DF">
                  <wp:simplePos x="0" y="0"/>
                  <wp:positionH relativeFrom="column">
                    <wp:posOffset>50165</wp:posOffset>
                  </wp:positionH>
                  <wp:positionV relativeFrom="paragraph">
                    <wp:posOffset>32385</wp:posOffset>
                  </wp:positionV>
                  <wp:extent cx="302895" cy="19050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pic:cNvPicPr>
                            <a:picLocks noChangeAspect="1" noChangeArrowheads="1"/>
                          </pic:cNvPicPr>
                        </pic:nvPicPr>
                        <pic:blipFill>
                          <a:blip r:embed="rId11"/>
                          <a:stretch>
                            <a:fillRect/>
                          </a:stretch>
                        </pic:blipFill>
                        <pic:spPr bwMode="auto">
                          <a:xfrm>
                            <a:off x="0" y="0"/>
                            <a:ext cx="302895" cy="190500"/>
                          </a:xfrm>
                          <a:prstGeom prst="rect">
                            <a:avLst/>
                          </a:prstGeom>
                          <a:noFill/>
                        </pic:spPr>
                      </pic:pic>
                    </a:graphicData>
                  </a:graphic>
                </wp:anchor>
              </w:drawing>
            </w:r>
          </w:p>
        </w:tc>
        <w:tc>
          <w:tcPr>
            <w:tcW w:w="1395" w:type="dxa"/>
          </w:tcPr>
          <w:p w14:paraId="597F1574" w14:textId="77777777" w:rsidR="002A090C" w:rsidRDefault="00000000">
            <w:pPr>
              <w:spacing w:after="0" w:line="240" w:lineRule="auto"/>
              <w:jc w:val="both"/>
              <w:rPr>
                <w:rFonts w:ascii="Times New Roman" w:eastAsia="Times New Roman" w:hAnsi="Times New Roman" w:cs="Times New Roman"/>
                <w:sz w:val="14"/>
                <w:szCs w:val="14"/>
                <w:lang w:val="es-CO"/>
              </w:rPr>
            </w:pPr>
            <w:r>
              <w:rPr>
                <w:rFonts w:ascii="Times New Roman" w:eastAsia="Times New Roman" w:hAnsi="Times New Roman" w:cs="Times New Roman"/>
                <w:sz w:val="14"/>
                <w:szCs w:val="14"/>
                <w:lang w:val="es-CO"/>
              </w:rPr>
              <w:t>29/12/2025</w:t>
            </w:r>
          </w:p>
        </w:tc>
      </w:tr>
      <w:tr w:rsidR="008F5DA4" w14:paraId="1164A3FD" w14:textId="77777777" w:rsidTr="008F5DA4">
        <w:trPr>
          <w:trHeight w:val="109"/>
        </w:trPr>
        <w:tc>
          <w:tcPr>
            <w:tcW w:w="776" w:type="dxa"/>
          </w:tcPr>
          <w:p w14:paraId="37E45091" w14:textId="77777777" w:rsidR="008F5DA4" w:rsidRDefault="008F5DA4" w:rsidP="008F5DA4">
            <w:pPr>
              <w:spacing w:after="0" w:line="240" w:lineRule="auto"/>
              <w:jc w:val="both"/>
              <w:rPr>
                <w:rFonts w:ascii="Times New Roman" w:eastAsia="Times New Roman" w:hAnsi="Times New Roman" w:cs="Times New Roman"/>
                <w:sz w:val="14"/>
                <w:szCs w:val="14"/>
                <w:lang w:val="es-CO"/>
              </w:rPr>
            </w:pPr>
            <w:r>
              <w:rPr>
                <w:rFonts w:ascii="Times New Roman" w:eastAsia="Times New Roman" w:hAnsi="Times New Roman" w:cs="Times New Roman"/>
                <w:sz w:val="14"/>
                <w:szCs w:val="14"/>
                <w:lang w:val="es-CO"/>
              </w:rPr>
              <w:t>Reviso</w:t>
            </w:r>
          </w:p>
        </w:tc>
        <w:tc>
          <w:tcPr>
            <w:tcW w:w="6003" w:type="dxa"/>
          </w:tcPr>
          <w:p w14:paraId="4CF39F45" w14:textId="0A9D67A3" w:rsidR="008F5DA4" w:rsidRDefault="008F5DA4" w:rsidP="008F5DA4">
            <w:pPr>
              <w:spacing w:after="0" w:line="240" w:lineRule="auto"/>
              <w:contextualSpacing/>
              <w:jc w:val="both"/>
              <w:rPr>
                <w:rFonts w:ascii="Times New Roman" w:eastAsia="Times New Roman" w:hAnsi="Times New Roman" w:cs="Times New Roman"/>
                <w:sz w:val="14"/>
                <w:szCs w:val="14"/>
                <w:lang w:val="es-CO"/>
              </w:rPr>
            </w:pPr>
            <w:r>
              <w:rPr>
                <w:rFonts w:ascii="Times New Roman" w:eastAsia="Times New Roman" w:hAnsi="Times New Roman" w:cs="Times New Roman"/>
                <w:sz w:val="14"/>
                <w:szCs w:val="14"/>
                <w:lang w:val="es-CO"/>
              </w:rPr>
              <w:t>Leidy Alejandra Gonzalez Villanueva, Gerente Inserción Socioeconómica, Código 039, Grado 01</w:t>
            </w:r>
          </w:p>
        </w:tc>
        <w:tc>
          <w:tcPr>
            <w:tcW w:w="1034" w:type="dxa"/>
          </w:tcPr>
          <w:p w14:paraId="3931F6AE" w14:textId="525FACAA" w:rsidR="008F5DA4" w:rsidRDefault="008F5DA4" w:rsidP="008F5DA4">
            <w:pPr>
              <w:spacing w:after="0" w:line="240" w:lineRule="auto"/>
              <w:jc w:val="both"/>
              <w:rPr>
                <w:rFonts w:ascii="Times New Roman" w:eastAsia="Times New Roman" w:hAnsi="Times New Roman" w:cs="Times New Roman"/>
                <w:sz w:val="14"/>
                <w:szCs w:val="14"/>
                <w:lang w:val="es-CO"/>
              </w:rPr>
            </w:pPr>
          </w:p>
        </w:tc>
        <w:tc>
          <w:tcPr>
            <w:tcW w:w="1395" w:type="dxa"/>
          </w:tcPr>
          <w:p w14:paraId="4CD1382B" w14:textId="77777777" w:rsidR="008F5DA4" w:rsidRDefault="008F5DA4" w:rsidP="008F5DA4">
            <w:pPr>
              <w:spacing w:after="0" w:line="240" w:lineRule="auto"/>
              <w:jc w:val="both"/>
              <w:rPr>
                <w:rFonts w:ascii="Times New Roman" w:eastAsia="Times New Roman" w:hAnsi="Times New Roman" w:cs="Times New Roman"/>
                <w:sz w:val="14"/>
                <w:szCs w:val="14"/>
                <w:lang w:val="es-CO"/>
              </w:rPr>
            </w:pPr>
            <w:r>
              <w:rPr>
                <w:rFonts w:ascii="Times New Roman" w:eastAsia="Times New Roman" w:hAnsi="Times New Roman" w:cs="Times New Roman"/>
                <w:sz w:val="14"/>
                <w:szCs w:val="14"/>
                <w:lang w:val="es-CO"/>
              </w:rPr>
              <w:t>29/12/2025</w:t>
            </w:r>
          </w:p>
        </w:tc>
      </w:tr>
      <w:tr w:rsidR="008F5DA4" w14:paraId="0410BA8D" w14:textId="77777777" w:rsidTr="008F5DA4">
        <w:trPr>
          <w:trHeight w:val="64"/>
        </w:trPr>
        <w:tc>
          <w:tcPr>
            <w:tcW w:w="9208" w:type="dxa"/>
            <w:gridSpan w:val="4"/>
          </w:tcPr>
          <w:p w14:paraId="75561FD9" w14:textId="77777777" w:rsidR="008F5DA4" w:rsidRDefault="008F5DA4" w:rsidP="008F5DA4">
            <w:pPr>
              <w:spacing w:after="0" w:line="240" w:lineRule="auto"/>
              <w:jc w:val="both"/>
              <w:rPr>
                <w:rFonts w:ascii="Times New Roman" w:eastAsia="Times New Roman" w:hAnsi="Times New Roman" w:cs="Times New Roman"/>
                <w:sz w:val="14"/>
                <w:szCs w:val="14"/>
                <w:lang w:val="es-CO"/>
              </w:rPr>
            </w:pPr>
            <w:r>
              <w:rPr>
                <w:rFonts w:ascii="Times New Roman" w:eastAsia="Times New Roman" w:hAnsi="Times New Roman" w:cs="Times New Roman"/>
                <w:sz w:val="14"/>
                <w:szCs w:val="14"/>
                <w:lang w:val="es-CO"/>
              </w:rPr>
              <w:t>Los arriba firmantes declaramos que hemos revisado el documento y lo encontramos ajustado a las normas y disposiciones legales vigentes y por tanto, bajo nuestra responsabilidad lo presentamos a firma.</w:t>
            </w:r>
          </w:p>
        </w:tc>
      </w:tr>
    </w:tbl>
    <w:p w14:paraId="6A581ED4" w14:textId="77777777" w:rsidR="002A090C" w:rsidRDefault="002A090C" w:rsidP="008F5DA4">
      <w:pPr>
        <w:pStyle w:val="Encabezado"/>
        <w:jc w:val="both"/>
        <w:rPr>
          <w:rFonts w:ascii="Times New Roman" w:eastAsia="Times New Roman" w:hAnsi="Times New Roman" w:cs="Times New Roman"/>
        </w:rPr>
      </w:pPr>
    </w:p>
    <w:sectPr w:rsidR="002A090C">
      <w:headerReference w:type="even" r:id="rId12"/>
      <w:headerReference w:type="default" r:id="rId13"/>
      <w:footerReference w:type="even" r:id="rId14"/>
      <w:footerReference w:type="default" r:id="rId15"/>
      <w:headerReference w:type="first" r:id="rId16"/>
      <w:footerReference w:type="first" r:id="rId17"/>
      <w:pgSz w:w="12240" w:h="18720"/>
      <w:pgMar w:top="1803" w:right="1701" w:bottom="1418" w:left="1701" w:header="567" w:footer="62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85A85" w14:textId="77777777" w:rsidR="00894CF8" w:rsidRDefault="00894CF8">
      <w:pPr>
        <w:spacing w:after="0" w:line="240" w:lineRule="auto"/>
      </w:pPr>
      <w:r>
        <w:separator/>
      </w:r>
    </w:p>
  </w:endnote>
  <w:endnote w:type="continuationSeparator" w:id="0">
    <w:p w14:paraId="31BB0416" w14:textId="77777777" w:rsidR="00894CF8" w:rsidRDefault="00894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1"/>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1"/>
    <w:family w:val="swiss"/>
    <w:pitch w:val="variable"/>
  </w:font>
  <w:font w:name="OpenSymbol">
    <w:altName w:val="Arial Unicode MS"/>
    <w:charset w:val="01"/>
    <w:family w:val="swiss"/>
    <w:pitch w:val="variable"/>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inion Pro">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575D2" w14:textId="77777777" w:rsidR="002A090C" w:rsidRDefault="002A090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9DA83" w14:textId="77777777" w:rsidR="002A090C" w:rsidRDefault="00000000">
    <w:pPr>
      <w:pStyle w:val="Piedepgina"/>
      <w:tabs>
        <w:tab w:val="clear" w:pos="8504"/>
        <w:tab w:val="right" w:pos="8498"/>
      </w:tabs>
    </w:pPr>
    <w:r>
      <w:rPr>
        <w:noProof/>
      </w:rPr>
      <w:drawing>
        <wp:anchor distT="0" distB="0" distL="0" distR="0" simplePos="0" relativeHeight="251658240" behindDoc="1" locked="0" layoutInCell="0" allowOverlap="1" wp14:anchorId="7B5C81BA" wp14:editId="26E9B1FC">
          <wp:simplePos x="0" y="0"/>
          <wp:positionH relativeFrom="margin">
            <wp:posOffset>-495300</wp:posOffset>
          </wp:positionH>
          <wp:positionV relativeFrom="paragraph">
            <wp:posOffset>635</wp:posOffset>
          </wp:positionV>
          <wp:extent cx="6562090" cy="845820"/>
          <wp:effectExtent l="0" t="0" r="0" b="0"/>
          <wp:wrapNone/>
          <wp:docPr id="6" name="Imagen4" descr="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4" descr="Gráfico&#10;&#10;Descripción generada automáticamente"/>
                  <pic:cNvPicPr>
                    <a:picLocks noChangeAspect="1" noChangeArrowheads="1"/>
                  </pic:cNvPicPr>
                </pic:nvPicPr>
                <pic:blipFill>
                  <a:blip r:embed="rId1"/>
                  <a:stretch>
                    <a:fillRect/>
                  </a:stretch>
                </pic:blipFill>
                <pic:spPr bwMode="auto">
                  <a:xfrm>
                    <a:off x="0" y="0"/>
                    <a:ext cx="6562090" cy="845820"/>
                  </a:xfrm>
                  <a:prstGeom prst="rect">
                    <a:avLst/>
                  </a:prstGeom>
                  <a:noFill/>
                </pic:spPr>
              </pic:pic>
            </a:graphicData>
          </a:graphic>
        </wp:anchor>
      </w:drawing>
    </w:r>
  </w:p>
  <w:p w14:paraId="5360A33D" w14:textId="77777777" w:rsidR="002A090C" w:rsidRDefault="002A090C">
    <w:pPr>
      <w:pStyle w:val="Piedepgina"/>
    </w:pPr>
  </w:p>
  <w:p w14:paraId="3D633839" w14:textId="77777777" w:rsidR="002A090C" w:rsidRDefault="002A090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9C090" w14:textId="77777777" w:rsidR="002A090C" w:rsidRDefault="00000000">
    <w:pPr>
      <w:pStyle w:val="Piedepgina"/>
      <w:tabs>
        <w:tab w:val="clear" w:pos="8504"/>
        <w:tab w:val="right" w:pos="8498"/>
      </w:tabs>
    </w:pPr>
    <w:r>
      <w:rPr>
        <w:noProof/>
      </w:rPr>
      <w:drawing>
        <wp:anchor distT="0" distB="0" distL="0" distR="0" simplePos="0" relativeHeight="251659264" behindDoc="1" locked="0" layoutInCell="0" allowOverlap="1" wp14:anchorId="489D28EF" wp14:editId="503824A7">
          <wp:simplePos x="0" y="0"/>
          <wp:positionH relativeFrom="margin">
            <wp:posOffset>-495300</wp:posOffset>
          </wp:positionH>
          <wp:positionV relativeFrom="paragraph">
            <wp:posOffset>635</wp:posOffset>
          </wp:positionV>
          <wp:extent cx="6562090" cy="845820"/>
          <wp:effectExtent l="0" t="0" r="0" b="0"/>
          <wp:wrapNone/>
          <wp:docPr id="7" name="Imagen4" descr="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4" descr="Gráfico&#10;&#10;Descripción generada automáticamente"/>
                  <pic:cNvPicPr>
                    <a:picLocks noChangeAspect="1" noChangeArrowheads="1"/>
                  </pic:cNvPicPr>
                </pic:nvPicPr>
                <pic:blipFill>
                  <a:blip r:embed="rId1"/>
                  <a:stretch>
                    <a:fillRect/>
                  </a:stretch>
                </pic:blipFill>
                <pic:spPr bwMode="auto">
                  <a:xfrm>
                    <a:off x="0" y="0"/>
                    <a:ext cx="6562090" cy="845820"/>
                  </a:xfrm>
                  <a:prstGeom prst="rect">
                    <a:avLst/>
                  </a:prstGeom>
                  <a:noFill/>
                </pic:spPr>
              </pic:pic>
            </a:graphicData>
          </a:graphic>
        </wp:anchor>
      </w:drawing>
    </w:r>
  </w:p>
  <w:p w14:paraId="3C4D42FB" w14:textId="77777777" w:rsidR="002A090C" w:rsidRDefault="002A090C">
    <w:pPr>
      <w:pStyle w:val="Piedepgina"/>
    </w:pPr>
  </w:p>
  <w:p w14:paraId="7B0F7BE2" w14:textId="77777777" w:rsidR="002A090C" w:rsidRDefault="002A09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F2806" w14:textId="77777777" w:rsidR="00894CF8" w:rsidRDefault="00894CF8">
      <w:pPr>
        <w:spacing w:after="0" w:line="240" w:lineRule="auto"/>
      </w:pPr>
      <w:r>
        <w:separator/>
      </w:r>
    </w:p>
  </w:footnote>
  <w:footnote w:type="continuationSeparator" w:id="0">
    <w:p w14:paraId="12362E92" w14:textId="77777777" w:rsidR="00894CF8" w:rsidRDefault="00894C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89919" w14:textId="77777777" w:rsidR="002A090C" w:rsidRDefault="002A090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56415" w14:textId="5D28A57A" w:rsidR="002A090C" w:rsidRDefault="004F4586">
    <w:pPr>
      <w:pStyle w:val="Encabezado"/>
      <w:jc w:val="center"/>
    </w:pPr>
    <w:r>
      <w:rPr>
        <w:noProof/>
      </w:rPr>
      <mc:AlternateContent>
        <mc:Choice Requires="wps">
          <w:drawing>
            <wp:anchor distT="0" distB="0" distL="0" distR="0" simplePos="0" relativeHeight="251656192" behindDoc="1" locked="0" layoutInCell="1" allowOverlap="1" wp14:anchorId="5607E9DE" wp14:editId="2B725B63">
              <wp:simplePos x="0" y="0"/>
              <wp:positionH relativeFrom="column">
                <wp:posOffset>4030980</wp:posOffset>
              </wp:positionH>
              <wp:positionV relativeFrom="paragraph">
                <wp:posOffset>365760</wp:posOffset>
              </wp:positionV>
              <wp:extent cx="2085975" cy="247650"/>
              <wp:effectExtent l="0" t="0" r="0" b="0"/>
              <wp:wrapNone/>
              <wp:docPr id="1747394819"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85975" cy="247650"/>
                      </a:xfrm>
                      <a:prstGeom prst="rect">
                        <a:avLst/>
                      </a:prstGeom>
                      <a:noFill/>
                      <a:ln w="0">
                        <a:noFill/>
                      </a:ln>
                    </wps:spPr>
                    <wps:style>
                      <a:lnRef idx="0">
                        <a:scrgbClr r="0" g="0" b="0"/>
                      </a:lnRef>
                      <a:fillRef idx="0">
                        <a:scrgbClr r="0" g="0" b="0"/>
                      </a:fillRef>
                      <a:effectRef idx="0">
                        <a:scrgbClr r="0" g="0" b="0"/>
                      </a:effectRef>
                      <a:fontRef idx="minor"/>
                    </wps:style>
                    <wps:txbx>
                      <w:txbxContent>
                        <w:p w14:paraId="14E2ED9E" w14:textId="77777777" w:rsidR="002A090C" w:rsidRDefault="00000000">
                          <w:pPr>
                            <w:pStyle w:val="Contenidodelmarcouser"/>
                            <w:jc w:val="right"/>
                            <w:rPr>
                              <w:rFonts w:ascii="Times New Roman" w:hAnsi="Times New Roman" w:cs="Times New Roman"/>
                              <w:sz w:val="16"/>
                              <w:szCs w:val="16"/>
                            </w:rPr>
                          </w:pPr>
                          <w:r>
                            <w:rPr>
                              <w:rFonts w:ascii="Times New Roman" w:hAnsi="Times New Roman" w:cs="Times New Roman"/>
                              <w:color w:val="000000"/>
                              <w:sz w:val="16"/>
                              <w:szCs w:val="16"/>
                            </w:rPr>
                            <w:t>CÓD: A-GDO-FT-016 VR.12 – 04/10/2022</w:t>
                          </w:r>
                        </w:p>
                        <w:p w14:paraId="60C27CCB" w14:textId="77777777" w:rsidR="002A090C" w:rsidRDefault="002A090C">
                          <w:pPr>
                            <w:pStyle w:val="Contenidodelmarcouser"/>
                            <w:jc w:val="right"/>
                            <w:rPr>
                              <w:rFonts w:ascii="Times New Roman" w:hAnsi="Times New Roman" w:cs="Times New Roman"/>
                              <w:sz w:val="16"/>
                              <w:szCs w:val="16"/>
                            </w:rPr>
                          </w:pPr>
                        </w:p>
                        <w:p w14:paraId="203A7301" w14:textId="77777777" w:rsidR="002A090C" w:rsidRDefault="002A090C">
                          <w:pPr>
                            <w:pStyle w:val="Contenidodelmarcouser"/>
                            <w:rPr>
                              <w:color w:val="000000"/>
                            </w:rPr>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5607E9DE" id="Rectángulo 6" o:spid="_x0000_s1026" style="position:absolute;left:0;text-align:left;margin-left:317.4pt;margin-top:28.8pt;width:164.25pt;height:19.5pt;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" filled="f" stroked="f" strokeweight="0">
              <v:textbox>
                <w:txbxContent>
                  <w:p w14:paraId="14E2ED9E" w14:textId="77777777" w:rsidR="002A090C" w:rsidRDefault="00000000">
                    <w:pPr>
                      <w:pStyle w:val="Contenidodelmarcouser"/>
                      <w:jc w:val="right"/>
                      <w:rPr>
                        <w:rFonts w:ascii="Times New Roman" w:hAnsi="Times New Roman" w:cs="Times New Roman"/>
                        <w:sz w:val="16"/>
                        <w:szCs w:val="16"/>
                      </w:rPr>
                    </w:pPr>
                    <w:r>
                      <w:rPr>
                        <w:rFonts w:ascii="Times New Roman" w:hAnsi="Times New Roman" w:cs="Times New Roman"/>
                        <w:color w:val="000000"/>
                        <w:sz w:val="16"/>
                        <w:szCs w:val="16"/>
                      </w:rPr>
                      <w:t>CÓD: A-GDO-FT-016 VR.12 – 04/10/2022</w:t>
                    </w:r>
                  </w:p>
                  <w:p w14:paraId="60C27CCB" w14:textId="77777777" w:rsidR="002A090C" w:rsidRDefault="002A090C">
                    <w:pPr>
                      <w:pStyle w:val="Contenidodelmarcouser"/>
                      <w:jc w:val="right"/>
                      <w:rPr>
                        <w:rFonts w:ascii="Times New Roman" w:hAnsi="Times New Roman" w:cs="Times New Roman"/>
                        <w:sz w:val="16"/>
                        <w:szCs w:val="16"/>
                      </w:rPr>
                    </w:pPr>
                  </w:p>
                  <w:p w14:paraId="203A7301" w14:textId="77777777" w:rsidR="002A090C" w:rsidRDefault="002A090C">
                    <w:pPr>
                      <w:pStyle w:val="Contenidodelmarcouser"/>
                      <w:rPr>
                        <w:color w:val="000000"/>
                      </w:rPr>
                    </w:pPr>
                  </w:p>
                </w:txbxContent>
              </v:textbox>
            </v:rect>
          </w:pict>
        </mc:Fallback>
      </mc:AlternateContent>
    </w:r>
    <w:r w:rsidR="00000000">
      <w:rPr>
        <w:noProof/>
      </w:rPr>
      <w:drawing>
        <wp:inline distT="0" distB="0" distL="0" distR="0" wp14:anchorId="7EF43531" wp14:editId="79A99F98">
          <wp:extent cx="5459730" cy="449580"/>
          <wp:effectExtent l="0" t="0" r="0" b="0"/>
          <wp:docPr id="3"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1"/>
                  <pic:cNvPicPr>
                    <a:picLocks noChangeAspect="1" noChangeArrowheads="1"/>
                  </pic:cNvPicPr>
                </pic:nvPicPr>
                <pic:blipFill>
                  <a:blip r:embed="rId1"/>
                  <a:stretch>
                    <a:fillRect/>
                  </a:stretch>
                </pic:blipFill>
                <pic:spPr bwMode="auto">
                  <a:xfrm>
                    <a:off x="0" y="0"/>
                    <a:ext cx="5459730" cy="44958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DF32C" w14:textId="20069FED" w:rsidR="002A090C" w:rsidRDefault="004F4586">
    <w:pPr>
      <w:pStyle w:val="Encabezado"/>
      <w:jc w:val="center"/>
    </w:pPr>
    <w:r>
      <w:rPr>
        <w:noProof/>
      </w:rPr>
      <mc:AlternateContent>
        <mc:Choice Requires="wps">
          <w:drawing>
            <wp:anchor distT="0" distB="0" distL="0" distR="0" simplePos="0" relativeHeight="251657216" behindDoc="1" locked="0" layoutInCell="1" allowOverlap="1" wp14:anchorId="4C2F5FB3" wp14:editId="7441EBF9">
              <wp:simplePos x="0" y="0"/>
              <wp:positionH relativeFrom="column">
                <wp:posOffset>4030980</wp:posOffset>
              </wp:positionH>
              <wp:positionV relativeFrom="paragraph">
                <wp:posOffset>365760</wp:posOffset>
              </wp:positionV>
              <wp:extent cx="2085975" cy="247650"/>
              <wp:effectExtent l="0" t="0" r="0" b="0"/>
              <wp:wrapNone/>
              <wp:docPr id="201036682"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85975" cy="247650"/>
                      </a:xfrm>
                      <a:prstGeom prst="rect">
                        <a:avLst/>
                      </a:prstGeom>
                      <a:noFill/>
                      <a:ln w="0">
                        <a:noFill/>
                      </a:ln>
                    </wps:spPr>
                    <wps:style>
                      <a:lnRef idx="0">
                        <a:scrgbClr r="0" g="0" b="0"/>
                      </a:lnRef>
                      <a:fillRef idx="0">
                        <a:scrgbClr r="0" g="0" b="0"/>
                      </a:fillRef>
                      <a:effectRef idx="0">
                        <a:scrgbClr r="0" g="0" b="0"/>
                      </a:effectRef>
                      <a:fontRef idx="minor"/>
                    </wps:style>
                    <wps:txbx>
                      <w:txbxContent>
                        <w:p w14:paraId="1D70D4E3" w14:textId="77777777" w:rsidR="002A090C" w:rsidRDefault="00000000">
                          <w:pPr>
                            <w:pStyle w:val="Contenidodelmarcouser"/>
                            <w:jc w:val="right"/>
                            <w:rPr>
                              <w:rFonts w:ascii="Times New Roman" w:hAnsi="Times New Roman" w:cs="Times New Roman"/>
                              <w:sz w:val="16"/>
                              <w:szCs w:val="16"/>
                            </w:rPr>
                          </w:pPr>
                          <w:r>
                            <w:rPr>
                              <w:rFonts w:ascii="Times New Roman" w:hAnsi="Times New Roman" w:cs="Times New Roman"/>
                              <w:color w:val="000000"/>
                              <w:sz w:val="16"/>
                              <w:szCs w:val="16"/>
                            </w:rPr>
                            <w:t>CÓD: A-GDO-FT-016 VR.12 – 04/10/2022</w:t>
                          </w:r>
                        </w:p>
                        <w:p w14:paraId="0CA3BE0B" w14:textId="77777777" w:rsidR="002A090C" w:rsidRDefault="002A090C">
                          <w:pPr>
                            <w:pStyle w:val="Contenidodelmarcouser"/>
                            <w:jc w:val="right"/>
                            <w:rPr>
                              <w:rFonts w:ascii="Times New Roman" w:hAnsi="Times New Roman" w:cs="Times New Roman"/>
                              <w:sz w:val="16"/>
                              <w:szCs w:val="16"/>
                            </w:rPr>
                          </w:pPr>
                        </w:p>
                        <w:p w14:paraId="00BE5A9B" w14:textId="77777777" w:rsidR="002A090C" w:rsidRDefault="002A090C">
                          <w:pPr>
                            <w:pStyle w:val="Contenidodelmarcouser"/>
                            <w:rPr>
                              <w:color w:val="000000"/>
                            </w:rPr>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4C2F5FB3" id="Rectángulo 4" o:spid="_x0000_s1027" style="position:absolute;left:0;text-align:left;margin-left:317.4pt;margin-top:28.8pt;width:164.25pt;height:19.5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" filled="f" stroked="f" strokeweight="0">
              <v:textbox>
                <w:txbxContent>
                  <w:p w14:paraId="1D70D4E3" w14:textId="77777777" w:rsidR="002A090C" w:rsidRDefault="00000000">
                    <w:pPr>
                      <w:pStyle w:val="Contenidodelmarcouser"/>
                      <w:jc w:val="right"/>
                      <w:rPr>
                        <w:rFonts w:ascii="Times New Roman" w:hAnsi="Times New Roman" w:cs="Times New Roman"/>
                        <w:sz w:val="16"/>
                        <w:szCs w:val="16"/>
                      </w:rPr>
                    </w:pPr>
                    <w:r>
                      <w:rPr>
                        <w:rFonts w:ascii="Times New Roman" w:hAnsi="Times New Roman" w:cs="Times New Roman"/>
                        <w:color w:val="000000"/>
                        <w:sz w:val="16"/>
                        <w:szCs w:val="16"/>
                      </w:rPr>
                      <w:t>CÓD: A-GDO-FT-016 VR.12 – 04/10/2022</w:t>
                    </w:r>
                  </w:p>
                  <w:p w14:paraId="0CA3BE0B" w14:textId="77777777" w:rsidR="002A090C" w:rsidRDefault="002A090C">
                    <w:pPr>
                      <w:pStyle w:val="Contenidodelmarcouser"/>
                      <w:jc w:val="right"/>
                      <w:rPr>
                        <w:rFonts w:ascii="Times New Roman" w:hAnsi="Times New Roman" w:cs="Times New Roman"/>
                        <w:sz w:val="16"/>
                        <w:szCs w:val="16"/>
                      </w:rPr>
                    </w:pPr>
                  </w:p>
                  <w:p w14:paraId="00BE5A9B" w14:textId="77777777" w:rsidR="002A090C" w:rsidRDefault="002A090C">
                    <w:pPr>
                      <w:pStyle w:val="Contenidodelmarcouser"/>
                      <w:rPr>
                        <w:color w:val="000000"/>
                      </w:rPr>
                    </w:pPr>
                  </w:p>
                </w:txbxContent>
              </v:textbox>
            </v:rect>
          </w:pict>
        </mc:Fallback>
      </mc:AlternateContent>
    </w:r>
    <w:r w:rsidR="00000000">
      <w:rPr>
        <w:noProof/>
      </w:rPr>
      <w:drawing>
        <wp:inline distT="0" distB="0" distL="0" distR="0" wp14:anchorId="26C3E850" wp14:editId="44B40128">
          <wp:extent cx="5459730" cy="449580"/>
          <wp:effectExtent l="0" t="0" r="0" b="0"/>
          <wp:docPr id="5"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11"/>
                  <pic:cNvPicPr>
                    <a:picLocks noChangeAspect="1" noChangeArrowheads="1"/>
                  </pic:cNvPicPr>
                </pic:nvPicPr>
                <pic:blipFill>
                  <a:blip r:embed="rId1"/>
                  <a:stretch>
                    <a:fillRect/>
                  </a:stretch>
                </pic:blipFill>
                <pic:spPr bwMode="auto">
                  <a:xfrm>
                    <a:off x="0" y="0"/>
                    <a:ext cx="5459730" cy="4495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271A8"/>
    <w:multiLevelType w:val="multilevel"/>
    <w:tmpl w:val="2D1E45A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D515650"/>
    <w:multiLevelType w:val="multilevel"/>
    <w:tmpl w:val="1F5EDD2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2C56253"/>
    <w:multiLevelType w:val="multilevel"/>
    <w:tmpl w:val="9FD406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A3819F0"/>
    <w:multiLevelType w:val="multilevel"/>
    <w:tmpl w:val="A816D7C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869442776">
    <w:abstractNumId w:val="0"/>
  </w:num>
  <w:num w:numId="2" w16cid:durableId="145510355">
    <w:abstractNumId w:val="1"/>
  </w:num>
  <w:num w:numId="3" w16cid:durableId="941883497">
    <w:abstractNumId w:val="3"/>
  </w:num>
  <w:num w:numId="4" w16cid:durableId="4636681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90C"/>
    <w:rsid w:val="002A090C"/>
    <w:rsid w:val="004F4586"/>
    <w:rsid w:val="00822FC2"/>
    <w:rsid w:val="00894CF8"/>
    <w:rsid w:val="008F5DA4"/>
    <w:rsid w:val="00905B32"/>
    <w:rsid w:val="00BC154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C7CA6"/>
  <w15:docId w15:val="{F3F1AB88-A754-4F5E-BED4-E3C6F147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505"/>
    <w:pPr>
      <w:spacing w:after="200" w:line="276" w:lineRule="auto"/>
    </w:pPr>
    <w:rPr>
      <w:rFonts w:cs="Calibri"/>
      <w:sz w:val="22"/>
      <w:szCs w:val="22"/>
      <w:lang w:val="es-ES" w:eastAsia="en-US"/>
    </w:rPr>
  </w:style>
  <w:style w:type="paragraph" w:styleId="Ttulo3">
    <w:name w:val="heading 3"/>
    <w:basedOn w:val="Normal"/>
    <w:next w:val="Normal"/>
    <w:link w:val="Ttulo3Car"/>
    <w:semiHidden/>
    <w:unhideWhenUsed/>
    <w:qFormat/>
    <w:locked/>
    <w:rsid w:val="00A1401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9">
    <w:name w:val="heading 9"/>
    <w:basedOn w:val="Normal"/>
    <w:next w:val="Normal"/>
    <w:link w:val="Ttulo9Car"/>
    <w:uiPriority w:val="99"/>
    <w:qFormat/>
    <w:locked/>
    <w:rsid w:val="00AB7634"/>
    <w:pPr>
      <w:keepNext/>
      <w:spacing w:after="0" w:line="240" w:lineRule="auto"/>
      <w:ind w:left="2832" w:firstLine="708"/>
      <w:outlineLvl w:val="8"/>
    </w:pPr>
    <w:rPr>
      <w:rFonts w:ascii="Helvetica" w:hAnsi="Helvetica" w:cs="Helvetica"/>
      <w:b/>
      <w:bCs/>
      <w:sz w:val="18"/>
      <w:szCs w:val="18"/>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link w:val="Ttulo9"/>
    <w:uiPriority w:val="99"/>
    <w:semiHidden/>
    <w:qFormat/>
    <w:locked/>
    <w:rsid w:val="001B7518"/>
    <w:rPr>
      <w:rFonts w:ascii="Cambria" w:hAnsi="Cambria" w:cs="Cambria"/>
      <w:lang w:eastAsia="en-US"/>
    </w:rPr>
  </w:style>
  <w:style w:type="character" w:customStyle="1" w:styleId="EncabezadoCar">
    <w:name w:val="Encabezado Car"/>
    <w:basedOn w:val="Fuentedeprrafopredeter"/>
    <w:link w:val="Encabezado"/>
    <w:uiPriority w:val="99"/>
    <w:semiHidden/>
    <w:qFormat/>
    <w:locked/>
    <w:rsid w:val="00462573"/>
  </w:style>
  <w:style w:type="character" w:customStyle="1" w:styleId="PiedepginaCar">
    <w:name w:val="Pie de página Car"/>
    <w:basedOn w:val="Fuentedeprrafopredeter"/>
    <w:link w:val="Piedepgina"/>
    <w:uiPriority w:val="99"/>
    <w:semiHidden/>
    <w:qFormat/>
    <w:locked/>
    <w:rsid w:val="00462573"/>
  </w:style>
  <w:style w:type="character" w:customStyle="1" w:styleId="TextodegloboCar">
    <w:name w:val="Texto de globo Car"/>
    <w:link w:val="Textodeglobo"/>
    <w:uiPriority w:val="99"/>
    <w:semiHidden/>
    <w:qFormat/>
    <w:locked/>
    <w:rsid w:val="00BE1A6F"/>
    <w:rPr>
      <w:rFonts w:ascii="Tahoma" w:hAnsi="Tahoma" w:cs="Tahoma"/>
      <w:sz w:val="16"/>
      <w:szCs w:val="16"/>
    </w:rPr>
  </w:style>
  <w:style w:type="character" w:styleId="Hipervnculo">
    <w:name w:val="Hyperlink"/>
    <w:basedOn w:val="Fuentedeprrafopredeter"/>
    <w:uiPriority w:val="99"/>
    <w:unhideWhenUsed/>
    <w:rsid w:val="004A3E6B"/>
    <w:rPr>
      <w:color w:val="0563C1" w:themeColor="hyperlink"/>
      <w:u w:val="single"/>
    </w:rPr>
  </w:style>
  <w:style w:type="character" w:customStyle="1" w:styleId="Mencinsinresolver1">
    <w:name w:val="Mención sin resolver1"/>
    <w:basedOn w:val="Fuentedeprrafopredeter"/>
    <w:uiPriority w:val="99"/>
    <w:semiHidden/>
    <w:unhideWhenUsed/>
    <w:qFormat/>
    <w:rsid w:val="004A3E6B"/>
    <w:rPr>
      <w:color w:val="605E5C"/>
      <w:shd w:val="clear" w:color="auto" w:fill="E1DFDD"/>
    </w:rPr>
  </w:style>
  <w:style w:type="character" w:customStyle="1" w:styleId="Mencinsinresolver2">
    <w:name w:val="Mención sin resolver2"/>
    <w:basedOn w:val="Fuentedeprrafopredeter"/>
    <w:uiPriority w:val="99"/>
    <w:semiHidden/>
    <w:unhideWhenUsed/>
    <w:qFormat/>
    <w:rsid w:val="00B274B7"/>
    <w:rPr>
      <w:color w:val="605E5C"/>
      <w:shd w:val="clear" w:color="auto" w:fill="E1DFDD"/>
    </w:rPr>
  </w:style>
  <w:style w:type="character" w:customStyle="1" w:styleId="Ttulo3Car">
    <w:name w:val="Título 3 Car"/>
    <w:basedOn w:val="Fuentedeprrafopredeter"/>
    <w:link w:val="Ttulo3"/>
    <w:semiHidden/>
    <w:qFormat/>
    <w:rsid w:val="00A14018"/>
    <w:rPr>
      <w:rFonts w:asciiTheme="majorHAnsi" w:eastAsiaTheme="majorEastAsia" w:hAnsiTheme="majorHAnsi" w:cstheme="majorBidi"/>
      <w:color w:val="1F3763" w:themeColor="accent1" w:themeShade="7F"/>
      <w:sz w:val="24"/>
      <w:szCs w:val="24"/>
      <w:lang w:val="es-ES" w:eastAsia="en-US"/>
    </w:rPr>
  </w:style>
  <w:style w:type="character" w:styleId="Refdecomentario">
    <w:name w:val="annotation reference"/>
    <w:basedOn w:val="Fuentedeprrafopredeter"/>
    <w:uiPriority w:val="99"/>
    <w:semiHidden/>
    <w:unhideWhenUsed/>
    <w:qFormat/>
    <w:rsid w:val="001D1B86"/>
    <w:rPr>
      <w:sz w:val="16"/>
      <w:szCs w:val="16"/>
    </w:rPr>
  </w:style>
  <w:style w:type="character" w:customStyle="1" w:styleId="TextocomentarioCar">
    <w:name w:val="Texto comentario Car"/>
    <w:basedOn w:val="Fuentedeprrafopredeter"/>
    <w:link w:val="Textocomentario"/>
    <w:uiPriority w:val="99"/>
    <w:qFormat/>
    <w:rsid w:val="001D1B86"/>
    <w:rPr>
      <w:rFonts w:cs="Calibri"/>
      <w:lang w:val="es-ES" w:eastAsia="en-US"/>
    </w:rPr>
  </w:style>
  <w:style w:type="character" w:customStyle="1" w:styleId="AsuntodelcomentarioCar">
    <w:name w:val="Asunto del comentario Car"/>
    <w:basedOn w:val="TextocomentarioCar"/>
    <w:link w:val="Asuntodelcomentario"/>
    <w:uiPriority w:val="99"/>
    <w:semiHidden/>
    <w:qFormat/>
    <w:rsid w:val="001D1B86"/>
    <w:rPr>
      <w:rFonts w:cs="Calibri"/>
      <w:b/>
      <w:bCs/>
      <w:lang w:val="es-ES" w:eastAsia="en-US"/>
    </w:rPr>
  </w:style>
  <w:style w:type="character" w:customStyle="1" w:styleId="Bolosuser">
    <w:name w:val="Bolos (user)"/>
    <w:qFormat/>
    <w:rPr>
      <w:rFonts w:ascii="OpenSymbol" w:eastAsia="OpenSymbol" w:hAnsi="OpenSymbol" w:cs="OpenSymbol"/>
    </w:rPr>
  </w:style>
  <w:style w:type="character" w:customStyle="1" w:styleId="Smbolosdenumeracin">
    <w:name w:val="Símbolos de numeración"/>
    <w:qFormat/>
  </w:style>
  <w:style w:type="paragraph" w:styleId="Ttulo">
    <w:name w:val="Title"/>
    <w:basedOn w:val="Normal"/>
    <w:next w:val="Textoindependiente"/>
    <w:qFormat/>
    <w:pPr>
      <w:keepNext/>
      <w:spacing w:before="240" w:after="120"/>
    </w:pPr>
    <w:rPr>
      <w:rFonts w:ascii="Liberation Sans" w:eastAsia="Arial Unicode MS" w:hAnsi="Liberation Sans" w:cs="Arial Unicode MS"/>
      <w:sz w:val="28"/>
      <w:szCs w:val="28"/>
    </w:rPr>
  </w:style>
  <w:style w:type="paragraph" w:styleId="Textoindependiente">
    <w:name w:val="Body Text"/>
    <w:basedOn w:val="Normal"/>
    <w:pPr>
      <w:spacing w:after="140"/>
    </w:pPr>
  </w:style>
  <w:style w:type="paragraph" w:styleId="Lista">
    <w:name w:val="List"/>
    <w:basedOn w:val="Textoindependiente"/>
    <w:rPr>
      <w:rFonts w:cs="Arial Unicode MS"/>
    </w:rPr>
  </w:style>
  <w:style w:type="paragraph" w:styleId="Descripcin">
    <w:name w:val="caption"/>
    <w:basedOn w:val="Normal"/>
    <w:qFormat/>
    <w:pPr>
      <w:suppressLineNumbers/>
      <w:spacing w:before="120" w:after="120"/>
    </w:pPr>
    <w:rPr>
      <w:rFonts w:cs="Arial Unicode MS"/>
      <w:i/>
      <w:iCs/>
      <w:sz w:val="24"/>
      <w:szCs w:val="24"/>
    </w:rPr>
  </w:style>
  <w:style w:type="paragraph" w:customStyle="1" w:styleId="ndice">
    <w:name w:val="Índice"/>
    <w:basedOn w:val="Normal"/>
    <w:qFormat/>
    <w:pPr>
      <w:suppressLineNumbers/>
    </w:pPr>
    <w:rPr>
      <w:rFonts w:cs="Arial Unicode MS"/>
    </w:rPr>
  </w:style>
  <w:style w:type="paragraph" w:customStyle="1" w:styleId="Ttulouser">
    <w:name w:val="Título (user)"/>
    <w:basedOn w:val="Normal"/>
    <w:next w:val="Textoindependiente"/>
    <w:qFormat/>
    <w:pPr>
      <w:keepNext/>
      <w:spacing w:before="240" w:after="120"/>
    </w:pPr>
    <w:rPr>
      <w:rFonts w:ascii="Liberation Sans" w:eastAsia="Arial Unicode MS" w:hAnsi="Liberation Sans" w:cs="Arial Unicode MS"/>
      <w:sz w:val="28"/>
      <w:szCs w:val="28"/>
    </w:rPr>
  </w:style>
  <w:style w:type="paragraph" w:customStyle="1" w:styleId="ndiceuser">
    <w:name w:val="Índice (user)"/>
    <w:basedOn w:val="Normal"/>
    <w:qFormat/>
    <w:pPr>
      <w:suppressLineNumbers/>
    </w:pPr>
    <w:rPr>
      <w:rFonts w:cs="Arial Unicode MS"/>
    </w:rPr>
  </w:style>
  <w:style w:type="paragraph" w:customStyle="1" w:styleId="Cabeceraypieuser">
    <w:name w:val="Cabecera y pie (user)"/>
    <w:basedOn w:val="Normal"/>
    <w:qFormat/>
  </w:style>
  <w:style w:type="paragraph" w:customStyle="1" w:styleId="Cabeceraypie">
    <w:name w:val="Cabecera y pie"/>
    <w:basedOn w:val="Normal"/>
    <w:qFormat/>
  </w:style>
  <w:style w:type="paragraph" w:styleId="Encabezado">
    <w:name w:val="header"/>
    <w:basedOn w:val="Normal"/>
    <w:link w:val="EncabezadoCar"/>
    <w:uiPriority w:val="99"/>
    <w:semiHidden/>
    <w:rsid w:val="00462573"/>
    <w:pPr>
      <w:tabs>
        <w:tab w:val="center" w:pos="4252"/>
        <w:tab w:val="right" w:pos="8504"/>
      </w:tabs>
      <w:spacing w:after="0" w:line="240" w:lineRule="auto"/>
    </w:pPr>
  </w:style>
  <w:style w:type="paragraph" w:styleId="Piedepgina">
    <w:name w:val="footer"/>
    <w:basedOn w:val="Normal"/>
    <w:link w:val="PiedepginaCar"/>
    <w:uiPriority w:val="99"/>
    <w:semiHidden/>
    <w:rsid w:val="00462573"/>
    <w:pPr>
      <w:tabs>
        <w:tab w:val="center" w:pos="4252"/>
        <w:tab w:val="right" w:pos="8504"/>
      </w:tabs>
      <w:spacing w:after="0" w:line="240" w:lineRule="auto"/>
    </w:pPr>
  </w:style>
  <w:style w:type="paragraph" w:styleId="Textodeglobo">
    <w:name w:val="Balloon Text"/>
    <w:basedOn w:val="Normal"/>
    <w:link w:val="TextodegloboCar"/>
    <w:uiPriority w:val="99"/>
    <w:semiHidden/>
    <w:qFormat/>
    <w:rsid w:val="00BE1A6F"/>
    <w:pPr>
      <w:spacing w:after="0" w:line="240" w:lineRule="auto"/>
    </w:pPr>
    <w:rPr>
      <w:rFonts w:ascii="Tahoma" w:hAnsi="Tahoma" w:cs="Tahoma"/>
      <w:sz w:val="16"/>
      <w:szCs w:val="16"/>
    </w:rPr>
  </w:style>
  <w:style w:type="paragraph" w:customStyle="1" w:styleId="Prrafobsico">
    <w:name w:val="[Párrafo básico]"/>
    <w:basedOn w:val="Normal"/>
    <w:uiPriority w:val="99"/>
    <w:qFormat/>
    <w:rsid w:val="000D0580"/>
    <w:pPr>
      <w:spacing w:after="0" w:line="288" w:lineRule="auto"/>
      <w:textAlignment w:val="center"/>
    </w:pPr>
    <w:rPr>
      <w:rFonts w:ascii="Minion Pro" w:hAnsi="Minion Pro" w:cs="Minion Pro"/>
      <w:color w:val="000000"/>
      <w:sz w:val="24"/>
      <w:szCs w:val="24"/>
      <w:lang w:val="es-ES_tradnl"/>
    </w:rPr>
  </w:style>
  <w:style w:type="paragraph" w:styleId="NormalWeb">
    <w:name w:val="Normal (Web)"/>
    <w:basedOn w:val="Normal"/>
    <w:uiPriority w:val="99"/>
    <w:qFormat/>
    <w:rsid w:val="00AB7634"/>
    <w:pPr>
      <w:spacing w:beforeAutospacing="1" w:afterAutospacing="1" w:line="240" w:lineRule="auto"/>
    </w:pPr>
    <w:rPr>
      <w:sz w:val="24"/>
      <w:szCs w:val="24"/>
      <w:lang w:eastAsia="es-ES"/>
    </w:rPr>
  </w:style>
  <w:style w:type="paragraph" w:styleId="Prrafodelista">
    <w:name w:val="List Paragraph"/>
    <w:basedOn w:val="Normal"/>
    <w:uiPriority w:val="34"/>
    <w:qFormat/>
    <w:rsid w:val="00981487"/>
    <w:pPr>
      <w:spacing w:after="0" w:line="240" w:lineRule="auto"/>
      <w:ind w:left="720"/>
      <w:contextualSpacing/>
    </w:pPr>
    <w:rPr>
      <w:rFonts w:ascii="Times New Roman" w:eastAsia="Times New Roman" w:hAnsi="Times New Roman" w:cs="Times New Roman"/>
      <w:sz w:val="24"/>
      <w:szCs w:val="24"/>
      <w:lang w:val="es-CO" w:eastAsia="es-CO"/>
    </w:rPr>
  </w:style>
  <w:style w:type="paragraph" w:customStyle="1" w:styleId="Default">
    <w:name w:val="Default"/>
    <w:qFormat/>
    <w:rsid w:val="00B274B7"/>
    <w:rPr>
      <w:rFonts w:ascii="Times New Roman" w:hAnsi="Times New Roman"/>
      <w:color w:val="000000"/>
      <w:sz w:val="24"/>
      <w:szCs w:val="24"/>
    </w:rPr>
  </w:style>
  <w:style w:type="paragraph" w:styleId="Textocomentario">
    <w:name w:val="annotation text"/>
    <w:basedOn w:val="Normal"/>
    <w:link w:val="TextocomentarioCar"/>
    <w:uiPriority w:val="99"/>
    <w:unhideWhenUsed/>
    <w:rsid w:val="001D1B86"/>
    <w:pPr>
      <w:spacing w:line="240" w:lineRule="auto"/>
    </w:pPr>
    <w:rPr>
      <w:sz w:val="20"/>
      <w:szCs w:val="20"/>
    </w:rPr>
  </w:style>
  <w:style w:type="paragraph" w:styleId="Asuntodelcomentario">
    <w:name w:val="annotation subject"/>
    <w:basedOn w:val="Textocomentario"/>
    <w:next w:val="Textocomentario"/>
    <w:link w:val="AsuntodelcomentarioCar"/>
    <w:uiPriority w:val="99"/>
    <w:semiHidden/>
    <w:unhideWhenUsed/>
    <w:qFormat/>
    <w:rsid w:val="001D1B86"/>
    <w:rPr>
      <w:b/>
      <w:bCs/>
    </w:rPr>
  </w:style>
  <w:style w:type="paragraph" w:customStyle="1" w:styleId="Contenidodelmarcouser">
    <w:name w:val="Contenido del marco (user)"/>
    <w:basedOn w:val="Normal"/>
    <w:qFormat/>
  </w:style>
  <w:style w:type="paragraph" w:customStyle="1" w:styleId="Citaenbloqueuser">
    <w:name w:val="Cita en bloque (user)"/>
    <w:basedOn w:val="Normal"/>
    <w:qFormat/>
    <w:pPr>
      <w:spacing w:after="283"/>
      <w:ind w:left="567" w:right="567"/>
    </w:pPr>
  </w:style>
  <w:style w:type="paragraph" w:styleId="Sinespaciado">
    <w:name w:val="No Spacing"/>
    <w:uiPriority w:val="1"/>
    <w:qFormat/>
    <w:rsid w:val="7E2B4511"/>
  </w:style>
  <w:style w:type="paragraph" w:customStyle="1" w:styleId="Contenidodelmarco">
    <w:name w:val="Contenido del marco"/>
    <w:basedOn w:val="Normal"/>
    <w:qFormat/>
  </w:style>
  <w:style w:type="numbering" w:customStyle="1" w:styleId="Ningunalista">
    <w:name w:val="Ninguna lista"/>
    <w:uiPriority w:val="99"/>
    <w:semiHidden/>
    <w:unhideWhenUsed/>
    <w:qFormat/>
  </w:style>
  <w:style w:type="numbering" w:customStyle="1" w:styleId="Ningunalistauser">
    <w:name w:val="Ninguna lista (user)"/>
    <w:uiPriority w:val="99"/>
    <w:semiHidden/>
    <w:unhideWhenUsed/>
    <w:qFormat/>
  </w:style>
  <w:style w:type="table" w:customStyle="1" w:styleId="Tablaconcuadrcula1">
    <w:name w:val="Tabla con cuadrícula1"/>
    <w:basedOn w:val="Tablanormal"/>
    <w:uiPriority w:val="59"/>
    <w:rsid w:val="00D744E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rsid w:val="00D74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B23A4EC43CDE749A62256EEEC0C8489" ma:contentTypeVersion="4" ma:contentTypeDescription="Crear nuevo documento." ma:contentTypeScope="" ma:versionID="a71f58c815d650c23ba492a372673c51">
  <xsd:schema xmlns:xsd="http://www.w3.org/2001/XMLSchema" xmlns:xs="http://www.w3.org/2001/XMLSchema" xmlns:p="http://schemas.microsoft.com/office/2006/metadata/properties" xmlns:ns2="2bcd8d9a-e3ce-4278-8494-bebf124bca11" xmlns:ns3="9e32f49c-a1e3-4a4d-b30c-05a23b16a24c" targetNamespace="http://schemas.microsoft.com/office/2006/metadata/properties" ma:root="true" ma:fieldsID="b716123ac9589eb78ce110455cd49766" ns2:_="" ns3:_="">
    <xsd:import namespace="2bcd8d9a-e3ce-4278-8494-bebf124bca11"/>
    <xsd:import namespace="9e32f49c-a1e3-4a4d-b30c-05a23b16a2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8d9a-e3ce-4278-8494-bebf124bca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32f49c-a1e3-4a4d-b30c-05a23b16a2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7EB7E2-2900-4CC0-8660-F8B87522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8d9a-e3ce-4278-8494-bebf124bca11"/>
    <ds:schemaRef ds:uri="9e32f49c-a1e3-4a4d-b30c-05a23b16a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01C27F-632D-4E3D-925E-0F5A3AE7B6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887937-0F59-4BF0-9A04-72251A61B8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1610</Words>
  <Characters>8857</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IDIPRON</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subject/>
  <dc:creator>Astrid Lorena Gonzalez Pabon</dc:creator>
  <dc:description/>
  <cp:lastModifiedBy>Leidy Alejandra Gonzalez Villanueva</cp:lastModifiedBy>
  <cp:revision>2</cp:revision>
  <cp:lastPrinted>2025-01-24T21:42:00Z</cp:lastPrinted>
  <dcterms:created xsi:type="dcterms:W3CDTF">2025-12-29T20:46:00Z</dcterms:created>
  <dcterms:modified xsi:type="dcterms:W3CDTF">2025-12-29T20:46:00Z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0x010100FB23A4EC43CDE749A62256EEEC0C8489</vt:lpwstr>
  </property>
</Properties>
</file>